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footer3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eastAsia="方正小标宋简体" w:cs="方正小标宋简体" w:ascii="方正小标宋简体" w:hAnsi="方正小标宋简体"/>
          <w:color w:val="000000"/>
          <w:sz w:val="36"/>
          <w:szCs w:val="36"/>
        </w:rPr>
      </w:r>
    </w:p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eastAsia="方正小标宋简体" w:cs="方正小标宋简体" w:ascii="方正小标宋简体" w:hAnsi="方正小标宋简体"/>
          <w:color w:val="000000"/>
          <w:sz w:val="36"/>
          <w:szCs w:val="36"/>
        </w:rPr>
      </w:r>
    </w:p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eastAsia="方正小标宋简体" w:cs="方正小标宋简体" w:ascii="方正小标宋简体" w:hAnsi="方正小标宋简体"/>
          <w:color w:val="000000"/>
          <w:sz w:val="36"/>
          <w:szCs w:val="36"/>
        </w:rPr>
      </w:r>
    </w:p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eastAsia="方正小标宋简体" w:cs="方正小标宋简体" w:ascii="方正小标宋简体" w:hAnsi="方正小标宋简体"/>
          <w:color w:val="000000"/>
          <w:sz w:val="36"/>
          <w:szCs w:val="36"/>
        </w:rPr>
      </w:r>
    </w:p>
    <w:p>
      <w:p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</w:rPr>
        <w:t>贵州省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  <w:lang w:eastAsia="zh-CN"/>
        </w:rPr>
        <w:t>“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</w:rPr>
        <w:t>十五五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  <w:lang w:eastAsia="zh-CN"/>
        </w:rPr>
        <w:t>”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</w:rPr>
        <w:t>促进药品安全高质量</w:t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587" w:right="1474" w:gutter="0" w:header="720" w:top="2098" w:footer="720" w:bottom="1984"/>
          <w:pgNumType w:fmt="decimal"/>
          <w:formProt w:val="false"/>
          <w:textDirection w:val="lrTb"/>
          <w:docGrid w:type="lines" w:linePitch="312" w:charSpace="0"/>
        </w:sectPr>
        <w:pStyle w:val="Normal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</w:rPr>
        <w:t>发展</w:t>
      </w:r>
      <w:r>
        <w:rPr>
          <w:rFonts w:ascii="方正小标宋简体" w:hAnsi="方正小标宋简体" w:cs="方正小标宋简体" w:eastAsia="方正小标宋简体"/>
          <w:color w:val="000000"/>
          <w:sz w:val="44"/>
          <w:szCs w:val="44"/>
          <w:lang w:eastAsia="zh-CN"/>
        </w:rPr>
        <w:t>行动方案</w:t>
      </w:r>
    </w:p>
    <w:p>
      <w:pPr>
        <w:pStyle w:val="Normal"/>
        <w:spacing w:lineRule="auto" w:line="240" w:before="0" w:after="0"/>
        <w:ind w:left="0" w:right="0" w:hanging="0"/>
        <w:jc w:val="center"/>
        <w:rPr>
          <w:rFonts w:ascii="黑体;方正黑体_GBK" w:hAnsi="黑体;方正黑体_GBK" w:eastAsia="黑体;方正黑体_GBK" w:cs="黑体;方正黑体_GBK"/>
          <w:b/>
          <w:b/>
          <w:bCs/>
          <w:sz w:val="32"/>
          <w:szCs w:val="32"/>
        </w:rPr>
      </w:pPr>
      <w:r>
        <w:rPr>
          <w:rFonts w:ascii="黑体;方正黑体_GBK" w:hAnsi="黑体;方正黑体_GBK" w:cs="黑体;方正黑体_GBK" w:eastAsia="黑体;方正黑体_GBK"/>
          <w:b/>
          <w:bCs/>
          <w:sz w:val="32"/>
          <w:szCs w:val="32"/>
        </w:rPr>
        <w:t>目</w:t>
      </w:r>
      <w:r>
        <w:rPr>
          <w:rFonts w:ascii="黑体;方正黑体_GBK" w:hAnsi="黑体;方正黑体_GBK" w:cs="黑体;方正黑体_GBK" w:eastAsia="黑体;方正黑体_GBK"/>
          <w:b/>
          <w:bCs/>
          <w:sz w:val="32"/>
          <w:szCs w:val="32"/>
          <w:lang w:val="en-US" w:eastAsia="zh-CN"/>
        </w:rPr>
        <w:t xml:space="preserve">  </w:t>
      </w:r>
      <w:r>
        <w:rPr>
          <w:rFonts w:ascii="黑体;方正黑体_GBK" w:hAnsi="黑体;方正黑体_GBK" w:cs="黑体;方正黑体_GBK" w:eastAsia="黑体;方正黑体_GBK"/>
          <w:b/>
          <w:bCs/>
          <w:sz w:val="32"/>
          <w:szCs w:val="32"/>
        </w:rPr>
        <w:t>录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r>
            <w:fldChar w:fldCharType="begin"/>
          </w:r>
          <w:r>
            <w:rPr>
              <w:rStyle w:val="IndexLink"/>
              <w:sz w:val="32"/>
              <w:szCs w:val="32"/>
              <w:bCs/>
              <w:rFonts w:ascii="Times New Roman" w:hAnsi="Times New Roman" w:cs="Times New Roman" w:eastAsia="黑体;方正黑体_GBK"/>
            </w:rPr>
            <w:instrText xml:space="preserve">TOC \o "1-3" \h \u </w:instrText>
          </w:r>
          <w:r>
            <w:rPr>
              <w:rStyle w:val="IndexLink"/>
              <w:sz w:val="32"/>
              <w:szCs w:val="32"/>
              <w:bCs/>
              <w:rFonts w:ascii="Times New Roman" w:hAnsi="Times New Roman" w:cs="Times New Roman" w:eastAsia="黑体;方正黑体_GBK"/>
            </w:rPr>
            <w:fldChar w:fldCharType="separate"/>
          </w:r>
          <w:hyperlink w:anchor="__RefHeading___Toc25828">
            <w:r>
              <w:rPr>
                <w:rStyle w:val="IndexLink"/>
                <w:rFonts w:ascii="Times New Roman" w:hAnsi="Times New Roman" w:cs="Times New Roman" w:eastAsia="黑体;方正黑体_GBK"/>
                <w:bCs/>
                <w:sz w:val="32"/>
                <w:szCs w:val="32"/>
              </w:rPr>
              <w:t>前</w:t>
            </w:r>
            <w:r>
              <w:rPr>
                <w:rStyle w:val="IndexLink"/>
                <w:rFonts w:ascii="Times New Roman" w:hAnsi="Times New Roman" w:cs="Times New Roman" w:eastAsia="Times New Roman"/>
                <w:bCs/>
                <w:sz w:val="32"/>
                <w:szCs w:val="32"/>
              </w:rPr>
              <w:t xml:space="preserve"> </w:t>
            </w:r>
            <w:r>
              <w:rPr>
                <w:rStyle w:val="IndexLink"/>
                <w:rFonts w:ascii="Times New Roman" w:hAnsi="Times New Roman" w:cs="Times New Roman" w:eastAsia="黑体;方正黑体_GBK"/>
                <w:bCs/>
                <w:sz w:val="32"/>
                <w:szCs w:val="32"/>
              </w:rPr>
              <w:t>言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</w:t>
            </w:r>
          </w:hyperlink>
        </w:p>
        <w:p>
          <w:pPr>
            <w:pStyle w:val="Contents1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8061"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  <w:lang w:val="en-US" w:eastAsia="zh-CN"/>
              </w:rPr>
              <w:t>一</w:t>
            </w:r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  <w:lang w:eastAsia="zh-CN"/>
              </w:rPr>
              <w:t>、</w:t>
            </w:r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</w:rPr>
              <w:t>发展目标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</w:t>
            </w:r>
          </w:hyperlink>
        </w:p>
        <w:p>
          <w:pPr>
            <w:pStyle w:val="Contents1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15129"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  <w:lang w:val="en-US" w:eastAsia="zh-CN"/>
              </w:rPr>
              <w:t>二</w:t>
            </w:r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</w:rPr>
              <w:t>、主要任务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6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7902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（一）筑安全屏障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  <w:lang w:eastAsia="zh-CN"/>
              </w:rPr>
              <w:t>：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健全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全链条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现代化药品监管体系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6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17743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完善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制度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，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筑牢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监管根基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6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1085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2.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全链严控，守护安全底线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7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0655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（二）强监管动能：夯实专业化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服务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能力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9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9257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技术赋能，提升核心能力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9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0683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2</w:t>
            </w:r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人才聚力，建强监管队伍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11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2514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三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）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建数字药监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：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提升智慧化治理效能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13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7192">
            <w:r>
              <w:rPr>
                <w:rStyle w:val="IndexLink"/>
                <w:rFonts w:eastAsia="仿宋_GB2312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</w:rPr>
              <w:t>统筹资源，打造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  <w:lang w:eastAsia="zh-CN"/>
              </w:rPr>
              <w:t>“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  <w:lang w:eastAsia="zh-CN"/>
              </w:rPr>
              <w:t>数据中心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  <w:lang w:eastAsia="zh-CN"/>
              </w:rPr>
              <w:t>”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13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2469">
            <w:r>
              <w:rPr>
                <w:rStyle w:val="IndexLink"/>
                <w:rFonts w:eastAsia="仿宋_GB2312;方正仿宋_GBK" w:cs="Times New Roman" w:ascii="Times New Roman" w:hAnsi="Times New Roman"/>
                <w:sz w:val="32"/>
                <w:szCs w:val="32"/>
              </w:rPr>
              <w:t>2.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</w:rPr>
              <w:t>数智赋能，全链智慧监管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14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1773">
            <w:r>
              <w:rPr>
                <w:rStyle w:val="IndexLink"/>
                <w:rFonts w:eastAsia="仿宋_GB2312;方正仿宋_GBK" w:cs="Times New Roman" w:ascii="Times New Roman" w:hAnsi="Times New Roman"/>
                <w:sz w:val="32"/>
                <w:szCs w:val="32"/>
              </w:rPr>
              <w:t>3.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</w:rPr>
              <w:t>技术深耕，拓展</w:t>
            </w:r>
            <w:r>
              <w:rPr>
                <w:rStyle w:val="IndexLink"/>
                <w:rFonts w:eastAsia="仿宋_GB2312;方正仿宋_GBK" w:cs="Times New Roman" w:ascii="Times New Roman" w:hAnsi="Times New Roman"/>
                <w:sz w:val="32"/>
                <w:szCs w:val="32"/>
              </w:rPr>
              <w:t>AI</w:t>
            </w:r>
            <w:r>
              <w:rPr>
                <w:rStyle w:val="IndexLink"/>
                <w:rFonts w:ascii="Times New Roman" w:hAnsi="Times New Roman" w:cs="Times New Roman" w:eastAsia="仿宋_GB2312;方正仿宋_GBK"/>
                <w:sz w:val="32"/>
                <w:szCs w:val="32"/>
              </w:rPr>
              <w:t>应用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14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4553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四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）兴</w:t>
            </w:r>
            <w:r>
              <w:rPr>
                <w:rStyle w:val="IndexLink"/>
                <w:rFonts w:ascii="Times New Roman" w:hAnsi="Times New Roman" w:cs="Times New Roman" w:eastAsia="Times New Roman"/>
                <w:sz w:val="32"/>
                <w:szCs w:val="32"/>
                <w:lang w:eastAsia="zh-CN"/>
              </w:rPr>
              <w:t>“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贵药</w:t>
            </w:r>
            <w:r>
              <w:rPr>
                <w:rStyle w:val="IndexLink"/>
                <w:rFonts w:ascii="Times New Roman" w:hAnsi="Times New Roman" w:cs="Times New Roman" w:eastAsia="Times New Roman"/>
                <w:sz w:val="32"/>
                <w:szCs w:val="32"/>
                <w:lang w:eastAsia="zh-CN"/>
              </w:rPr>
              <w:t>”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产业：激活高质量发展动能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16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11611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eastAsia="仿宋;方正仿宋_GBK" w:cs="仿宋;方正仿宋_GBK" w:ascii="仿宋;方正仿宋_GBK" w:hAnsi="仿宋;方正仿宋_GBK"/>
                <w:sz w:val="32"/>
                <w:szCs w:val="32"/>
                <w:lang w:eastAsia="zh-CN"/>
              </w:rPr>
              <w:t>“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贵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药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  <w:lang w:eastAsia="zh-CN"/>
              </w:rPr>
              <w:t>”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领航，做强特色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产业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16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0083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2</w:t>
            </w:r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筑基赋能，强化发展支撑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18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3522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3</w:t>
            </w:r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改革增效，优化发展生态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19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2236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4</w:t>
            </w:r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开放合作，拓宽发展空间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20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9037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五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）重应急能力：健全药品安全应急体系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21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12257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加强预警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，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提高风险意识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21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0323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2.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体系织密，健全应急架构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21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30337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3</w:t>
            </w:r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实训强能，筑牢应急防线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21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8921">
            <w:r>
              <w:rPr>
                <w:rStyle w:val="IndexLink"/>
                <w:rFonts w:eastAsia="仿宋;方正仿宋_GBK" w:cs="Times New Roman" w:ascii="Times New Roman" w:hAnsi="Times New Roman"/>
                <w:kern w:val="2"/>
                <w:sz w:val="32"/>
                <w:szCs w:val="32"/>
                <w:lang w:bidi="ar"/>
              </w:rPr>
              <w:t>4.</w:t>
            </w:r>
            <w:r>
              <w:rPr>
                <w:rStyle w:val="IndexLink"/>
                <w:rFonts w:ascii="Times New Roman" w:hAnsi="Times New Roman" w:cs="Times New Roman" w:eastAsia="仿宋;方正仿宋_GBK"/>
                <w:kern w:val="2"/>
                <w:sz w:val="32"/>
                <w:szCs w:val="32"/>
                <w:lang w:bidi="ar"/>
              </w:rPr>
              <w:t>多措并举，夯实应急基础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22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8634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六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）聚共治合力：构建社会协同治理格局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22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19911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1.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多元联动，凝聚共治力量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22</w:t>
            </w:r>
          </w:hyperlink>
        </w:p>
        <w:p>
          <w:pPr>
            <w:pStyle w:val="Contents3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9697">
            <w:r>
              <w:rPr>
                <w:rStyle w:val="IndexLink"/>
                <w:rFonts w:eastAsia="仿宋;方正仿宋_GBK" w:cs="Times New Roman" w:ascii="Times New Roman" w:hAnsi="Times New Roman"/>
                <w:sz w:val="32"/>
                <w:szCs w:val="32"/>
              </w:rPr>
              <w:t>2.</w:t>
            </w:r>
            <w:r>
              <w:rPr>
                <w:rStyle w:val="IndexLink"/>
                <w:rFonts w:ascii="Times New Roman" w:hAnsi="Times New Roman" w:cs="Times New Roman" w:eastAsia="仿宋;方正仿宋_GBK"/>
                <w:sz w:val="32"/>
                <w:szCs w:val="32"/>
              </w:rPr>
              <w:t>宣贯浸润，共护药品安全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22</w:t>
            </w:r>
          </w:hyperlink>
        </w:p>
        <w:p>
          <w:pPr>
            <w:pStyle w:val="Contents1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4677"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  <w:lang w:val="en-US" w:eastAsia="zh-CN"/>
              </w:rPr>
              <w:t>三</w:t>
            </w:r>
            <w:r>
              <w:rPr>
                <w:rStyle w:val="IndexLink"/>
                <w:rFonts w:ascii="Times New Roman" w:hAnsi="Times New Roman" w:cs="Times New Roman" w:eastAsia="黑体;方正黑体_GBK"/>
                <w:sz w:val="32"/>
                <w:szCs w:val="32"/>
              </w:rPr>
              <w:t>、保障措施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23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0946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（一）加强组织领导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23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7305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（二）</w:t>
            </w:r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加强政策保障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23</w:t>
            </w:r>
          </w:hyperlink>
        </w:p>
        <w:p>
          <w:pPr>
            <w:pStyle w:val="Contents2"/>
            <w:tabs>
              <w:tab w:val="clear" w:pos="420"/>
              <w:tab w:val="right" w:pos="8845" w:leader="dot"/>
            </w:tabs>
            <w:rPr>
              <w:rFonts w:ascii="Times New Roman" w:hAnsi="Times New Roman" w:cs="Times New Roman"/>
              <w:sz w:val="32"/>
              <w:szCs w:val="32"/>
            </w:rPr>
          </w:pPr>
          <w:hyperlink w:anchor="__RefHeading___Toc22267">
            <w:r>
              <w:rPr>
                <w:rStyle w:val="IndexLink"/>
                <w:rFonts w:ascii="Times New Roman" w:hAnsi="Times New Roman" w:cs="Times New Roman" w:eastAsia="楷体;方正楷体_GBK"/>
                <w:sz w:val="32"/>
                <w:szCs w:val="32"/>
              </w:rPr>
              <w:t>（三）落实监督评估</w:t>
            </w:r>
            <w:r>
              <w:rPr>
                <w:rStyle w:val="IndexLink"/>
                <w:rFonts w:cs="Times New Roman" w:ascii="Times New Roman" w:hAnsi="Times New Roman"/>
                <w:sz w:val="32"/>
                <w:szCs w:val="32"/>
              </w:rPr>
              <w:tab/>
              <w:t>23</w:t>
            </w:r>
          </w:hyperlink>
          <w:r>
            <w:rPr>
              <w:rStyle w:val="IndexLink"/>
              <w:sz w:val="32"/>
              <w:szCs w:val="32"/>
              <w:rFonts w:ascii="Times New Roman" w:hAnsi="Times New Roman" w:cs="Times New Roman"/>
            </w:rPr>
            <w:fldChar w:fldCharType="end"/>
          </w:r>
        </w:p>
      </w:sdtContent>
    </w:sdt>
    <w:p>
      <w:pPr>
        <w:sectPr>
          <w:headerReference w:type="default" r:id="rId4"/>
          <w:footerReference w:type="default" r:id="rId5"/>
          <w:type w:val="nextPage"/>
          <w:pgSz w:w="11906" w:h="16838"/>
          <w:pgMar w:left="1587" w:right="1474" w:gutter="0" w:header="720" w:top="2098" w:footer="720" w:bottom="1984"/>
          <w:pgNumType w:start="1" w:fmt="decimal"/>
          <w:formProt w:val="false"/>
          <w:textDirection w:val="lrTb"/>
          <w:docGrid w:type="lines" w:linePitch="312" w:charSpace="0"/>
        </w:sectPr>
        <w:pStyle w:val="2"/>
        <w:rPr>
          <w:rFonts w:ascii="黑体;方正黑体_GBK" w:hAnsi="黑体;方正黑体_GBK" w:eastAsia="黑体;方正黑体_GBK" w:cs="黑体;方正黑体_GBK"/>
          <w:color w:val="000000"/>
          <w:sz w:val="36"/>
          <w:szCs w:val="36"/>
        </w:rPr>
      </w:pPr>
      <w:r>
        <w:rPr>
          <w:rFonts w:eastAsia="黑体;方正黑体_GBK" w:cs="黑体;方正黑体_GBK" w:ascii="黑体;方正黑体_GBK" w:hAnsi="黑体;方正黑体_GBK"/>
          <w:color w:val="000000"/>
          <w:sz w:val="36"/>
          <w:szCs w:val="36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Times New Roman" w:hAnsi="Times New Roman" w:eastAsia="黑体;方正黑体_GBK" w:cs="Times New Roman"/>
          <w:b/>
          <w:b/>
          <w:bCs/>
          <w:color w:val="000000"/>
          <w:sz w:val="32"/>
          <w:szCs w:val="32"/>
        </w:rPr>
      </w:pPr>
      <w:bookmarkStart w:id="0" w:name="__RefHeading___Toc25828"/>
      <w:bookmarkEnd w:id="0"/>
      <w:r>
        <w:rPr>
          <w:rFonts w:ascii="黑体;方正黑体_GBK" w:hAnsi="黑体;方正黑体_GBK" w:cs="黑体;方正黑体_GBK" w:eastAsia="黑体;方正黑体_GBK"/>
          <w:b/>
          <w:bCs/>
          <w:color w:val="000000"/>
          <w:sz w:val="32"/>
          <w:szCs w:val="32"/>
        </w:rPr>
        <w:t>前 言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为深入贯彻落实党中央、国务院及省委省政府药品安全工作部署，进一步深化我省药品、医疗器械、化妆品（以下简称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）监管改革，保障公众用药安全有效、促进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贵州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医药产业高质量发展，更好满足人民群众对高质量医药健康产品的需求，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根据《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贵州省国民经济和社会发展第十五个五年规划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，制定本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行动方案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firstLine="640"/>
        <w:outlineLvl w:val="0"/>
        <w:rPr>
          <w:rFonts w:ascii="黑体;方正黑体_GBK" w:hAnsi="黑体;方正黑体_GBK" w:eastAsia="黑体;方正黑体_GBK" w:cs="黑体;方正黑体_GBK"/>
          <w:color w:val="000000"/>
          <w:sz w:val="32"/>
          <w:szCs w:val="32"/>
        </w:rPr>
      </w:pPr>
      <w:bookmarkStart w:id="1" w:name="__RefHeading___Toc28061"/>
      <w:bookmarkEnd w:id="1"/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  <w:lang w:val="en-US" w:eastAsia="zh-CN"/>
        </w:rPr>
        <w:t>一</w:t>
      </w:r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  <w:lang w:eastAsia="zh-CN"/>
        </w:rPr>
        <w:t>、</w:t>
      </w:r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</w:rPr>
        <w:t>发展目标</w:t>
      </w:r>
    </w:p>
    <w:p>
      <w:pPr>
        <w:pStyle w:val="Normal"/>
        <w:overflowPunct w:val="false"/>
        <w:spacing w:lineRule="exact" w:line="579"/>
        <w:ind w:firstLine="640"/>
        <w:rPr>
          <w:rFonts w:ascii="仿宋_GB2312;方正仿宋_GBK" w:hAnsi="仿宋_GB2312;方正仿宋_GBK" w:eastAsia="仿宋_GB2312;方正仿宋_GBK" w:cs="仿宋_GB2312;方正仿宋_GBK"/>
          <w:color w:val="000000"/>
          <w:sz w:val="32"/>
          <w:szCs w:val="32"/>
        </w:rPr>
      </w:pPr>
      <w:r>
        <w:rPr>
          <w:rFonts w:eastAsia="仿宋_GB2312;方正仿宋_GBK" w:cs="仿宋_GB2312;方正仿宋_GBK" w:ascii="仿宋_GB2312;方正仿宋_GBK" w:hAnsi="仿宋_GB2312;方正仿宋_GBK"/>
          <w:color w:val="000000"/>
          <w:kern w:val="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kern w:val="0"/>
          <w:sz w:val="32"/>
          <w:szCs w:val="32"/>
        </w:rPr>
        <w:t>十五五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kern w:val="0"/>
          <w:sz w:val="32"/>
          <w:szCs w:val="32"/>
          <w:lang w:eastAsia="zh-CN"/>
        </w:rPr>
        <w:t>”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kern w:val="0"/>
          <w:sz w:val="32"/>
          <w:szCs w:val="32"/>
        </w:rPr>
        <w:t>时期，以补短板、强弱项、创优势为核心，实现药品监管能力与产业发展水平双跨越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。到</w:t>
      </w:r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2030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年基本建成具有贵州特色的中药监管创新高地，打造智慧监管技术应用先行区，做强做优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贵药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品牌。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（一）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监管体制机制持续深化完善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省、市、县三级协同监管体系高效运转，执法联动、信息共享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机制全面贯通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基层执法能力显著提升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保障制度、响应机制和处置能力实现质的提升，形成统一指挥、快速响应、处置有力的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监管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格局。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（二）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药品风险防控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持续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坚实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牢靠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法规制度、责任链条、风险防控体系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持续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完善，数字化风险预警机制高效运行。重点品种、重点环节、重点对象实现分级分类全覆盖监管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药品全品种赋码、全流程追溯体系基本建成，监督抽检合格率稳定在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99%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以上，基本药物质量保持全国先进水平。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（三）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技术支撑能力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持续迭代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升级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审评、检查、检验、监测、评价、预警一体化技术支撑体系更加完善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血液制品批签发能力满足省内需求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建成政治过硬、结构合理、业务精湛的监管人才队伍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人工智能深度融入研审联动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等场景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，实现监管精准化、服务便捷化、决策智能化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形成具有贵州特色的数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药监新格局。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  <w:lang w:val="en-US" w:eastAsia="zh-CN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（四）“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贵药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”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产业发展持续释放动能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科技创新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成果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、临床资源、中医药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民族药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优势加速转化为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产业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动能，创新药械从研发、临床试验、审评审批到生产流通完整创新生态链基本形成</w:t>
      </w:r>
      <w:r>
        <w:rPr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本省研发、落地的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上市速度显著加快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中药民族药品牌建设提质增效，药品批发企业资源整合深化，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现代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物流管理模式全面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落地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，构建高效规范、竞争力强的现代药械流通体系。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（五）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民生用药安全持续保障有力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药品抽检合格率、不合格药品处置率持续保持高位，临床实验机构监督检查，集采药品、高风险药品医疗器械抽检率继续保持全覆盖，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零售药店连锁化水平稳步提升，零售及网售行为更加规范，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安全性、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有效性、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可及性充分保障。执法能力实现提升，对药品领域违法犯罪行为形成强力震慑。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（六）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应急管理能力持续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健全完备</w:t>
      </w:r>
    </w:p>
    <w:p>
      <w:pPr>
        <w:pStyle w:val="11"/>
        <w:ind w:firstLine="640"/>
        <w:rPr>
          <w:rFonts w:eastAsia="仿宋;方正仿宋_GBK"/>
          <w:color w:val="000000"/>
          <w:sz w:val="32"/>
          <w:szCs w:val="32"/>
        </w:rPr>
      </w:pPr>
      <w:r>
        <w:rPr>
          <w:rFonts w:eastAsia="仿宋;方正仿宋_GBK"/>
          <w:color w:val="000000"/>
          <w:sz w:val="32"/>
          <w:szCs w:val="32"/>
        </w:rPr>
        <w:t>风险监测预警网络</w:t>
      </w:r>
      <w:r>
        <w:rPr>
          <w:rFonts w:eastAsia="仿宋;方正仿宋_GBK"/>
          <w:color w:val="000000"/>
          <w:sz w:val="32"/>
          <w:szCs w:val="32"/>
        </w:rPr>
        <w:t>显著</w:t>
      </w:r>
      <w:r>
        <w:rPr>
          <w:rFonts w:eastAsia="仿宋;方正仿宋_GBK"/>
          <w:color w:val="000000"/>
          <w:sz w:val="32"/>
          <w:szCs w:val="32"/>
        </w:rPr>
        <w:t>完善，</w:t>
      </w:r>
      <w:r>
        <w:rPr>
          <w:rFonts w:eastAsia="仿宋;方正仿宋_GBK"/>
          <w:color w:val="000000"/>
          <w:sz w:val="32"/>
          <w:szCs w:val="32"/>
          <w:lang w:val="en-US" w:eastAsia="zh-CN"/>
        </w:rPr>
        <w:t>跨层级、跨部门、跨区域</w:t>
      </w:r>
      <w:r>
        <w:rPr>
          <w:rFonts w:eastAsia="仿宋;方正仿宋_GBK"/>
          <w:color w:val="000000"/>
          <w:sz w:val="32"/>
          <w:szCs w:val="32"/>
        </w:rPr>
        <w:t>应急管理组织体系和联动机制</w:t>
      </w:r>
      <w:r>
        <w:rPr>
          <w:rFonts w:eastAsia="仿宋;方正仿宋_GBK"/>
          <w:color w:val="000000"/>
          <w:sz w:val="32"/>
          <w:szCs w:val="32"/>
          <w:lang w:eastAsia="zh-CN"/>
        </w:rPr>
        <w:t>建立</w:t>
      </w:r>
      <w:r>
        <w:rPr>
          <w:rFonts w:eastAsia="仿宋;方正仿宋_GBK"/>
          <w:color w:val="000000"/>
          <w:sz w:val="32"/>
          <w:szCs w:val="32"/>
        </w:rPr>
        <w:t>健全。应急装备物资储备充足，网络安全防护能力显著提升，企业主体责任全面落实，公众应急避险能力持续增强</w:t>
      </w:r>
      <w:r>
        <w:rPr>
          <w:rFonts w:eastAsia="仿宋;方正仿宋_GBK"/>
          <w:color w:val="000000"/>
          <w:sz w:val="32"/>
          <w:szCs w:val="32"/>
        </w:rPr>
        <w:t>。</w:t>
      </w:r>
    </w:p>
    <w:p>
      <w:pPr>
        <w:pStyle w:val="Normal"/>
        <w:ind w:firstLine="640"/>
        <w:rPr>
          <w:rFonts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ascii="方正楷体_GBK" w:hAnsi="方正楷体_GBK" w:cs="方正楷体_GBK" w:eastAsia="方正楷体_GBK"/>
          <w:color w:val="000000"/>
          <w:sz w:val="32"/>
          <w:szCs w:val="32"/>
          <w:lang w:eastAsia="zh-CN"/>
        </w:rPr>
        <w:t>（七）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</w:rPr>
        <w:t>社会共治水平</w:t>
      </w:r>
      <w:r>
        <w:rPr>
          <w:rFonts w:ascii="方正楷体_GBK" w:hAnsi="方正楷体_GBK" w:cs="方正楷体_GBK" w:eastAsia="方正楷体_GBK"/>
          <w:color w:val="000000"/>
          <w:sz w:val="32"/>
          <w:szCs w:val="32"/>
          <w:lang w:val="en-US" w:eastAsia="zh-CN"/>
        </w:rPr>
        <w:t>持续纵深拓展</w:t>
      </w:r>
    </w:p>
    <w:p>
      <w:pPr>
        <w:pStyle w:val="11"/>
        <w:ind w:firstLine="640"/>
        <w:rPr>
          <w:sz w:val="36"/>
          <w:szCs w:val="36"/>
        </w:rPr>
      </w:pPr>
      <w:r>
        <w:rPr>
          <w:rFonts w:eastAsia="仿宋;方正仿宋_GBK"/>
          <w:color w:val="000000"/>
          <w:sz w:val="32"/>
          <w:szCs w:val="32"/>
        </w:rPr>
        <w:t>企业自律与诚信经营意识明显增强，药品监管信息透明度大幅提升，公众知情权、参与权得到有效保障。法律法规宣贯深入推进，典型案例曝光力度持续加大，全社会尊法学法守法用法氛围日益浓厚，形成政府监管、企业主责、行业自律、社会协同的药品安全共治格局。</w:t>
      </w:r>
    </w:p>
    <w:p>
      <w:pPr>
        <w:pStyle w:val="Header"/>
        <w:rPr>
          <w:sz w:val="36"/>
          <w:szCs w:val="36"/>
        </w:rPr>
      </w:pPr>
      <w:r>
        <w:rPr>
          <w:sz w:val="36"/>
          <w:szCs w:val="36"/>
        </w:rPr>
      </w:r>
    </w:p>
    <w:p>
      <w:pPr>
        <w:pStyle w:val="Normal"/>
        <w:rPr/>
      </w:pPr>
      <w:r>
        <w:rPr/>
      </w:r>
    </w:p>
    <w:p>
      <w:pPr>
        <w:pStyle w:val="2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2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2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2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2"/>
        <w:rPr/>
      </w:pPr>
      <w:r>
        <w:rPr/>
      </w:r>
    </w:p>
    <w:tbl>
      <w:tblPr>
        <w:tblW w:w="862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"/>
        <w:gridCol w:w="592"/>
        <w:gridCol w:w="4460"/>
        <w:gridCol w:w="1990"/>
        <w:gridCol w:w="1033"/>
      </w:tblGrid>
      <w:tr>
        <w:trPr>
          <w:trHeight w:val="196" w:hRule="atLeast"/>
        </w:trPr>
        <w:tc>
          <w:tcPr>
            <w:tcW w:w="8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ind w:firstLine="640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表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十五五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时期药品安全监管及高质量发展主要指标</w:t>
            </w:r>
          </w:p>
        </w:tc>
      </w:tr>
      <w:tr>
        <w:trPr>
          <w:trHeight w:val="438" w:hRule="atLeast"/>
        </w:trPr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类别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指标名称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目标值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属性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药品安全监管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药品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监督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抽检合格率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≥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  <w:lang w:eastAsia="zh-CN"/>
              </w:rPr>
              <w:t>预期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抽检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不合格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两品一械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处置率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100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约束性</w:t>
            </w:r>
          </w:p>
        </w:tc>
      </w:tr>
      <w:tr>
        <w:trPr>
          <w:trHeight w:val="1156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年均药品不良反应、医疗器械不良事件、化妆品不良反应报告数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每百万人口分别达到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20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00/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500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/</w:t>
            </w:r>
          </w:p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份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预期性</w:t>
            </w:r>
          </w:p>
        </w:tc>
      </w:tr>
      <w:tr>
        <w:trPr>
          <w:trHeight w:val="682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药物临床试验机构监督检查覆盖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100%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约束性</w:t>
            </w:r>
          </w:p>
        </w:tc>
      </w:tr>
      <w:tr>
        <w:trPr>
          <w:trHeight w:val="724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在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产血液制品、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中药注射剂等高风险生产企业年度检查覆盖率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100%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网络销售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两品一械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违法线索处置率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技术支撑能力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省级药物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医疗器械警戒试点医院建设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家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/10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家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约束性</w:t>
            </w:r>
          </w:p>
        </w:tc>
      </w:tr>
      <w:tr>
        <w:trPr>
          <w:trHeight w:val="1775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血液制品批签发品种国家授权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覆盖本省在产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个品种的批签发资质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监管人才建设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二类医疗器械审评资质人员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累计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国家级药品检查员数量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累计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专职检查员队伍规模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累计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90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全省专兼职检查员总数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350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人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  <w:lang w:val="en-US" w:eastAsia="zh-CN"/>
              </w:rPr>
              <w:t>以上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智慧监管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政务服务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全程网办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率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优化贵州药品智慧监管数据库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打造智慧监管、政务服务、辅助审评、风险监测等人工智能应用场景数量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产业发展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新增新药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2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新增三类医疗器械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2-3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预期性</w:t>
            </w:r>
          </w:p>
        </w:tc>
      </w:tr>
      <w:tr>
        <w:trPr>
          <w:trHeight w:val="249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val="en-US" w:eastAsia="zh-CN"/>
              </w:rPr>
              <w:t>中药材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GAP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  <w:lang w:val="en-US" w:eastAsia="zh-CN"/>
              </w:rPr>
              <w:t>基地延伸检查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性</w:t>
            </w:r>
          </w:p>
        </w:tc>
      </w:tr>
      <w:tr>
        <w:trPr>
          <w:trHeight w:val="570" w:hRule="atLeast"/>
        </w:trPr>
        <w:tc>
          <w:tcPr>
            <w:tcW w:w="5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jc w:val="center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4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制定</w:t>
            </w:r>
            <w:r>
              <w:rPr>
                <w:rFonts w:eastAsia="仿宋_GB2312;方正仿宋_GBK" w:cs="Times New Roman" w:ascii="Times New Roman" w:hAnsi="Times New Roman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修订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0"/>
                <w:sz w:val="28"/>
                <w:szCs w:val="28"/>
              </w:rPr>
              <w:t>贵州省地方药材饮片标准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≥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_GB2312;方正仿宋_GBK" w:cs="Times New Roman"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 w:eastAsia="仿宋_GB2312;方正仿宋_GBK"/>
                <w:color w:val="000000"/>
                <w:sz w:val="28"/>
                <w:szCs w:val="28"/>
              </w:rPr>
              <w:t>个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false"/>
              <w:keepLines w:val="false"/>
              <w:widowControl w:val="false"/>
              <w:kinsoku w:val="true"/>
              <w:overflowPunct w:val="true"/>
              <w:autoSpaceDE w:val="true"/>
              <w:bidi w:val="0"/>
              <w:snapToGrid w:val="false"/>
              <w:spacing w:lineRule="exact" w:line="500"/>
              <w:textAlignment w:val="auto"/>
              <w:rPr>
                <w:rFonts w:ascii="Times New Roman" w:hAnsi="Times New Roman" w:eastAsia="仿宋_GB2312;方正仿宋_GBK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约束</w:t>
            </w:r>
            <w:r>
              <w:rPr>
                <w:rFonts w:ascii="Times New Roman" w:hAnsi="Times New Roman" w:cs="Times New Roman" w:eastAsia="仿宋_GB2312;方正仿宋_GBK"/>
                <w:color w:val="000000"/>
                <w:kern w:val="2"/>
                <w:sz w:val="28"/>
                <w:szCs w:val="28"/>
              </w:rPr>
              <w:t>性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0"/>
        <w:rPr>
          <w:rFonts w:ascii="黑体;方正黑体_GBK" w:hAnsi="黑体;方正黑体_GBK" w:eastAsia="黑体;方正黑体_GBK" w:cs="黑体;方正黑体_GBK"/>
          <w:color w:val="000000"/>
          <w:sz w:val="32"/>
          <w:szCs w:val="32"/>
          <w:lang w:val="en-US"/>
        </w:rPr>
      </w:pPr>
      <w:r>
        <w:rPr>
          <w:rFonts w:eastAsia="黑体;方正黑体_GBK" w:cs="黑体;方正黑体_GBK" w:ascii="黑体;方正黑体_GBK" w:hAnsi="黑体;方正黑体_GBK"/>
          <w:color w:val="000000"/>
          <w:sz w:val="32"/>
          <w:szCs w:val="32"/>
          <w:lang w:val="en-US"/>
        </w:rPr>
      </w:r>
      <w:bookmarkStart w:id="2" w:name="__RefHeading___Toc15129"/>
      <w:bookmarkStart w:id="3" w:name="__RefHeading___Toc15129"/>
    </w:p>
    <w:p>
      <w:pPr>
        <w:pStyle w:val="Normal"/>
        <w:numPr>
          <w:ilvl w:val="0"/>
          <w:numId w:val="0"/>
        </w:numPr>
        <w:ind w:firstLine="640"/>
        <w:outlineLvl w:val="0"/>
        <w:rPr>
          <w:rFonts w:ascii="黑体;方正黑体_GBK" w:hAnsi="黑体;方正黑体_GBK" w:eastAsia="黑体;方正黑体_GBK" w:cs="黑体;方正黑体_GBK"/>
          <w:color w:val="000000"/>
          <w:sz w:val="32"/>
          <w:szCs w:val="32"/>
        </w:rPr>
      </w:pPr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  <w:lang w:val="en-US" w:eastAsia="zh-CN"/>
        </w:rPr>
        <w:t>二</w:t>
      </w:r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</w:rPr>
        <w:t>、主要任务</w:t>
      </w:r>
      <w:bookmarkEnd w:id="3"/>
    </w:p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4" w:name="__RefHeading___Toc7902"/>
      <w:bookmarkEnd w:id="4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（一）筑安全屏障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  <w:lang w:eastAsia="zh-CN"/>
        </w:rPr>
        <w:t>：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健全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全链条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现代化药品监管体系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5" w:name="__RefHeading___Toc17743"/>
      <w:bookmarkEnd w:id="5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完善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制度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筑牢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监管根基</w:t>
      </w:r>
    </w:p>
    <w:p>
      <w:pPr>
        <w:pStyle w:val="Normal"/>
        <w:numPr>
          <w:ilvl w:val="0"/>
          <w:numId w:val="0"/>
        </w:numPr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提高落实政策措施质效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。制修订适应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贵州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发展特点和具有贵州特色的监管政策、配套实施办法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行政检查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工作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指引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定期开展政策实施效果评估，提升政策可持续性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进一步理顺执法机制，推动实现执法闭环。</w:t>
      </w:r>
    </w:p>
    <w:p>
      <w:pPr>
        <w:pStyle w:val="Normal"/>
        <w:numPr>
          <w:ilvl w:val="0"/>
          <w:numId w:val="0"/>
        </w:numPr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压实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安全责任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体系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督促各地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落实属地管理责任，严格执行药品安全责任约谈制度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确保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安全监管责任全覆盖。明确各级监管部门及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岗位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权责清单，建立责任追究制度，对失职渎职依法追责。压实企业主体责任，动态更新企业主体责任清单，推行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企业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质量安全公开承诺制度。</w:t>
      </w:r>
    </w:p>
    <w:p>
      <w:pPr>
        <w:pStyle w:val="Normal"/>
        <w:ind w:firstLine="640"/>
        <w:rPr>
          <w:rFonts w:ascii="仿宋_GB2312;方正仿宋_GBK" w:hAnsi="仿宋_GB2312;方正仿宋_GBK" w:eastAsia="仿宋_GB2312;方正仿宋_GBK" w:cs="仿宋_GB2312;方正仿宋_GBK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）健全风险防控体系。深化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大安全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理念，完善风险会商长效机制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坚持对重点品种、重点企业、重点环节精准施治、靶向发力，提高监管的针对性和有效性。加强高风险品种的监管，做好血液制品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、无菌和植入类医疗器械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生产企业的全覆盖巡查检查。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）完善药品相关标准。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发挥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中药民族药材及饮片标准管理委员会统筹协调与技术指导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作用，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持续推进中药材民族药材、中药民族药饮片、中药配方颗粒质量标准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修订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，发布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中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药材产地加工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趁鲜切制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的品种目录。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构建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协同监管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和衔接联动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机制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围绕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药品安全全链条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多部门联动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监管格局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。建立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三医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协同会商机制，强化与医疗、医保相关部门合作，深化实时数据共享与风险联合研判。完善行刑衔接和行纪衔接机制，加强药监、公安、检察、纪检监察等部门的信息共享与执法协作，精准摸排线索、通报移送涉刑案件，严厉打击药品违法犯罪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依托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数字化曝光平台，加大对典型案件的警示教育力度，引导医药企业建立健全质量责任与信用自律机制。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6" w:name="__RefHeading___Toc31085"/>
      <w:bookmarkEnd w:id="6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全链严控，守护安全底线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）严格研制环节监管。严格监督执行药物临床试验质量管理规范、医疗器械临床试验质量管理规范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加强对临床试验的监督管理，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实现药物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临床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试验机构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监管全覆盖，确保研究数据真实可靠。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）严格注册环节监管。加强药品上市后变更管理的监管力度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，强化第二类医疗器械注册和第一类医疗器械备案管理工作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持续做好药品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政策咨询和技术指导服务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）严格生产环节监管。强化上市许可持有人及药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生产企业全流程监管。严格审批药品生产许可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B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合规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研制机构成为持有人，鼓励创新药、临床急需药、罕见病药持有人通过委托生产扩能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增产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；加大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C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受托生产企业监管力度，引导持有人优先选择信息化、规范化水平高的企业合作。按品种风险分级设定检查频次，减少重复检查。加强一、二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、三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类医疗器械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生产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监管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。按要求推进医疗器械唯一标识实施。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）严格经营使用环节监管。聚焦药品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批发企业、零售连锁总部、网络销售第三方平台及医疗机构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强化执法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，督促医疗机构落实进货查验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常态化风险排查，督促经营使用单位合规运营。强化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品追溯。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经营新业态监管，加大网络销售监测力度，严控互联网诊疗用药安全风险。</w:t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lang w:eastAsia="zh-CN"/>
              </w:rPr>
              <w:t>药品医疗器械生产、流通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安全监管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提升计划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lang w:eastAsia="zh-CN"/>
              </w:rPr>
              <w:t>1</w:t>
            </w:r>
            <w:r>
              <w:rPr>
                <w:rFonts w:eastAsia="仿宋;方正仿宋_GBK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对涉及跨省委托、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多托一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一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托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等情形的药品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、医疗器械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生产企业实施重点监管。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重点强化生产工艺变更、委托生产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监管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，提高委托生产延伸检查比例。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每年抽取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家委托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受托生产企业开展飞行检查。</w:t>
            </w:r>
          </w:p>
          <w:p>
            <w:pPr>
              <w:pStyle w:val="Tableofauthoritiesb05a5ea1c6cb4d1687d4359727b32308"/>
              <w:ind w:left="0" w:firstLine="560"/>
              <w:rPr>
                <w:rFonts w:ascii="Times New Roman" w:hAnsi="Times New Roman" w:eastAsia="仿宋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ascii="Times New Roman" w:hAnsi="Times New Roman" w:cs="Times New Roman" w:eastAsia="仿宋;方正仿宋_GBK"/>
                <w:color w:val="000000"/>
                <w:kern w:val="2"/>
                <w:sz w:val="28"/>
                <w:szCs w:val="28"/>
                <w:lang w:val="en-US" w:eastAsia="zh-CN" w:bidi="ar-SA"/>
              </w:rPr>
              <w:t>持续推进药品现代物流建设，严把药品批发企业准入关口，支持设施设备升级和自动化改造，促进药品流通行业高质量发展。</w:t>
            </w:r>
          </w:p>
          <w:p>
            <w:pPr>
              <w:pStyle w:val="Normal"/>
              <w:ind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每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年对国家集采中选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药械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无菌和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植入类医疗器械生产企业全覆盖检查，确保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纳入四级监管的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医疗器械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生产企业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全项目监督检查覆盖率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100%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。加大飞行检查力度。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强化医疗器械临床试验监督抽检工作。</w:t>
            </w:r>
          </w:p>
          <w:p>
            <w:pPr>
              <w:pStyle w:val="Normal"/>
              <w:ind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医疗机构监测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哨点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提质行动。遴选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家、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0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家二级及以上医疗机构，分别作为省级药品、医疗器械不良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/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事件监测重点哨点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医院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。制定医疗机构监测工作指南，提升报告质量和风险识别能力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7" w:name="__RefHeading___Toc20655"/>
      <w:bookmarkEnd w:id="7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（二）强监管动能：夯实专业化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服务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能力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8" w:name="__RefHeading___Toc29257"/>
      <w:bookmarkEnd w:id="8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技术赋能，提升核心能力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）提升审评审批效能。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着力提升创新药械、高端医疗器械的靠前服务能力。定期选派业务骨干赴国家药监局审评机构或西南分中心跟班学习，积极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参与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国家审评工作，加强我省审评机构与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西南分中心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密切协作，建立长效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工作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机制。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）提升检验检测能力。以省级检验机构为龙头、市（州）检验机构为骨干，构建层级分明、功能互补的检验检测体系。推进检验检测机构能力达标建设，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用好国家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政策，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完善设施设备配置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关键检测技术研究，加快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中药民族药质量控制与评价重点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实验室建设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加强血液制品等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重点领域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生物制品检验及批签发能力建设，强化应急检验能力。</w:t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技术支撑体系建设重点项目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tabs>
                <w:tab w:val="clear" w:pos="420"/>
                <w:tab w:val="left" w:pos="312" w:leader="none"/>
              </w:tabs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提升药品检验所软硬件设施水平，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使贵州省食品药品检验所具备《药品进口管理办法》《进口药材管理办法》中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相应检验检测设备，逐步提升对进口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药品及中药材检验检测能力。</w:t>
            </w:r>
          </w:p>
          <w:p>
            <w:pPr>
              <w:pStyle w:val="Normal"/>
              <w:ind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优化升级化学药品基因毒性杂质检测评估技术体系，完善痕量杂质高灵敏检测手段，实现精准筛查、准确定量与科学风险研判。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深化化妆品风险物质高通量筛查技术应用，提升多组分同步筛查与精准判定能力。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构建药品全链条微生物污染分析平台，完成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5-10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个药品品种生产过程微生物污染分析菌库的建立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。</w:t>
            </w:r>
          </w:p>
          <w:p>
            <w:pPr>
              <w:pStyle w:val="Normal"/>
              <w:ind w:firstLine="560"/>
              <w:rPr>
                <w:rFonts w:ascii="Times New Roman" w:hAnsi="Times New Roman" w:eastAsia="仿宋;方正仿宋_GBK" w:cs="Times New Roman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依托分子生物学等技术，对我省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～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 xml:space="preserve">8 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种“贵药”大品种开展基因层面真伪鉴别技术研究，健全药材鉴别判定依据，为药品监管工作提供精准技术支撑。推进省内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～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种道地药材及少数民族药材数字化标本建设，完成药材原植物、性状特征、显微特征等高清影像采集与数据库搭建，建立起贵州省食品药品检验所中药民族药线上展示服务平台。</w:t>
            </w:r>
          </w:p>
        </w:tc>
      </w:tr>
    </w:tbl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）提升风险监测能力。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完善药物警戒体系建设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，加强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对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集采和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创新药械等重点品种的监测能力，提高不良反应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  <w:lang w:val="en-US" w:eastAsia="zh-CN"/>
        </w:rPr>
        <w:t>/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事件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报告质量。推动注册人、备案人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开展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化妆品不良反应监测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工作，落实主体责任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。完善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部门协同监测机制，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发挥监测数据在风险预警中的作用，为监管决策提供支持。</w:t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  <w:lang w:val="en-US" w:eastAsia="zh-CN"/>
              </w:rPr>
              <w:t>3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药物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  <w:lang w:eastAsia="zh-CN"/>
              </w:rPr>
              <w:t>警戒和医疗器械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警戒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  <w:shd w:fill="FFFFFF" w:val="clear"/>
              </w:rPr>
              <w:t>提升计划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推动药物警戒相关法规落实，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年底完成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4-5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个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两品一械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监测评价技术规范、技术指南或工作程序，完善和规范药物警戒相关活动的工作流程，基本建成符合我省监管实际的药物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警戒和医疗器械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警戒制度体系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Calibri;DejaVu Sans" w:hAnsi="Calibri;DejaVu Sans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深化区域监测协作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，充分发挥各级药品不良反应监测机构协同作用，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年底，以监测协作形式完成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1-3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个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重点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品种的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主动监测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研究工作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3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加强与医药院校、行业协会、医疗机构等合作，建立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两品一械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不良反应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事件监测、评价及风险评估专家数据库。</w:t>
            </w:r>
          </w:p>
        </w:tc>
      </w:tr>
    </w:tbl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）提升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行政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执法能力。深化电子取证、智慧执法技术应用，强化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专业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能力建设。建立健全风险预警机制，对潜在风险进行实时监测和评估，提前采取防控措施。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5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）深化监管科学研究。深入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参与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药品监管科学行动计划，聚焦我省中药民族药特色产业，探索产学研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协同路径。加强课题申报工作，积极参与国家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药监局、所属单位和省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科技、卫健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、农业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等部门组织的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科研项目合作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9" w:name="__RefHeading___Toc20683"/>
      <w:bookmarkEnd w:id="9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人才聚力，建强监管队伍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）强化作风行风建设。以自我革命精神持续转变作风，优化行风。建立健全经常性发现问题、解决问题机制，打造忠诚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干净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担当的药监队伍。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建强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党员教育培训体系，筑牢党员干部思想根基，提升监管服务水平。</w:t>
      </w:r>
    </w:p>
    <w:p>
      <w:pPr>
        <w:pStyle w:val="Normal"/>
        <w:ind w:firstLine="640"/>
        <w:rPr>
          <w:rFonts w:eastAsia="仿宋;方正仿宋_GBK"/>
          <w:color w:val="000000"/>
          <w:sz w:val="32"/>
          <w:szCs w:val="32"/>
        </w:rPr>
      </w:pPr>
      <w:r>
        <w:rPr>
          <w:rFonts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eastAsia="仿宋;方正仿宋_GBK"/>
          <w:color w:val="000000"/>
          <w:sz w:val="32"/>
          <w:szCs w:val="32"/>
        </w:rPr>
        <w:t>）</w:t>
      </w:r>
      <w:r>
        <w:rPr>
          <w:rFonts w:eastAsia="仿宋;方正仿宋_GBK"/>
          <w:color w:val="000000"/>
          <w:sz w:val="32"/>
          <w:szCs w:val="32"/>
          <w:lang w:eastAsia="zh-CN"/>
        </w:rPr>
        <w:t>建强</w:t>
      </w:r>
      <w:r>
        <w:rPr>
          <w:rFonts w:eastAsia="仿宋;方正仿宋_GBK"/>
          <w:color w:val="000000"/>
          <w:sz w:val="32"/>
          <w:szCs w:val="32"/>
        </w:rPr>
        <w:t>监管</w:t>
      </w:r>
      <w:r>
        <w:rPr>
          <w:rFonts w:eastAsia="仿宋;方正仿宋_GBK"/>
          <w:color w:val="000000"/>
          <w:sz w:val="32"/>
          <w:szCs w:val="32"/>
          <w:lang w:eastAsia="zh-CN"/>
        </w:rPr>
        <w:t>人员体系</w:t>
      </w:r>
      <w:r>
        <w:rPr>
          <w:rFonts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优化监管人员年龄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和专业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结构，实现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老带新、中承上、青拓新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的梯队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结构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针对审评与检查岗位的专业性差异，建立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分级分类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管理体系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多维度检查员能力评估体系。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坚持引育并举，充实专业技术力量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科学配置技术审评人员力量，重点引进补充临床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、生物制品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等急缺专业人才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eastAsia="仿宋;方正仿宋_GBK"/>
          <w:color w:val="000000"/>
          <w:sz w:val="32"/>
          <w:szCs w:val="32"/>
        </w:rPr>
        <w:t>分层次、分专业、规模化构建中药民族药监管人才队伍，培养一批具有中药民族药思维的审评审批、检查稽查、检验检测、标准研制、监测评价人才。探索特色中药检查员队伍建设，重点培养具有中药学背景的专业检查人才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强化基层执法队伍建设。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推动执法力量下沉，确保一线执法力量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着力提升监管执法队伍的专业化、规范化、智能化、现代化水平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推进执法能力标准化建设，确保人员编制、经费投入与技术装备匹配监管事权。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引导激励专业人才向基层一线流动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强化省级部门对市（州）级的指导。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  <w:lang w:val="en-US" w:eastAsia="zh-CN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建立健全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系统化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人才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培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养机制。推进药品监管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与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高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校教育有机结合，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鼓励药监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人才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担任产业导师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支持高校教师到省药监系统跟班学习，提升理论教学与实践结合的水平，打通药品安全高质量发展的“人才链”。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鼓励支持优秀青年人才到监管工作一线锻炼，在重点工作、重大项目中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挑大梁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当主角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”，培养药品监管后备队伍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。充分利用国家药监局优质培训资源，建立常态化高级研修机制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，整体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提升监管人员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智能化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应用能力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和药品监管专业能力。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加强执业药师注册及继续教育管理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提升执业药师数量和质量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  <w:lang w:val="en-US" w:eastAsia="zh-CN"/>
        </w:rPr>
        <w:t>5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健全多元化人才激励机制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持续完善职称评审机制，优化评审标准，畅通专业人才职业发展通道。建立以创新能力、业绩贡献为导向的人才评价体系，营造尊重人才、服务人才、关爱人才的良好氛围，增强人才归属感。</w:t>
      </w:r>
    </w:p>
    <w:p>
      <w:pPr>
        <w:pStyle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监管人才能力提升计划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基层监管能力提升行动。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推动省局业务骨干定期下沉市县一线，开展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传帮带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式现场教学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。不断提升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监管工作人员医药、法学相关专业人员占比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加强药物警戒体系重要参与方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能力建设，推动医疗机构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药品上市许可持有人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、医疗器械注册人和备案人的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警戒专业人才队伍成长。计划每年开展至少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人次基层医务人员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相关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培训；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年底，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三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级及以上医疗机构培训覆盖率达到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100%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，药品上市许可持有人药物警戒培训覆盖率达到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100%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加强人才培养，至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2030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年底，培育国家级检查员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新增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不少于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名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，专职检查员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90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名，兼职检查员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260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名。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探索特色中药检查员队伍建设，重点培养具有中药学背景的专业检查人才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。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推进专职检查员学历提升计划，积极探索与医药高等院校联合培养机制，鼓励在职人员攻读博（硕）士学位，研究生以上学历占比达到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65%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eastAsia="仿宋;方正仿宋_GBK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实训基地建设，遴选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10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家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企业作为实训基地，开展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专职检查员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驻企实训。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10" w:name="__RefHeading___Toc32514"/>
      <w:bookmarkEnd w:id="10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三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）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建数字药监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：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提升智慧化治理效能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_GB2312;方正仿宋_GBK" w:cs="Times New Roman"/>
          <w:color w:val="000000"/>
          <w:sz w:val="32"/>
          <w:szCs w:val="32"/>
          <w:lang w:eastAsia="zh-CN"/>
        </w:rPr>
      </w:pPr>
      <w:bookmarkStart w:id="11" w:name="__RefHeading___Toc7192"/>
      <w:bookmarkEnd w:id="11"/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统筹资源，打造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数据中心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”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_GB2312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以省级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数字药监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为核心，整合行政审批、监督检查、追溯监管等功能模块，对接国家药品智慧监管平台与各级业务系统，打通跨省跨区域跨层级数据壁垒，推动业务协同。深化与市场监管、卫健、医保等部门数据共享，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健全追溯数据协同应用，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提升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一网通办、一网统管、一网协同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服务效能。</w:t>
      </w:r>
    </w:p>
    <w:p>
      <w:pPr>
        <w:pStyle w:val="Normal"/>
        <w:numPr>
          <w:ilvl w:val="0"/>
          <w:numId w:val="0"/>
        </w:numPr>
        <w:ind w:firstLine="640"/>
        <w:jc w:val="left"/>
        <w:outlineLvl w:val="2"/>
        <w:rPr>
          <w:rFonts w:ascii="Times New Roman" w:hAnsi="Times New Roman" w:eastAsia="仿宋_GB2312;方正仿宋_GBK" w:cs="Times New Roman"/>
          <w:color w:val="000000"/>
          <w:sz w:val="32"/>
          <w:szCs w:val="32"/>
        </w:rPr>
      </w:pPr>
      <w:bookmarkStart w:id="12" w:name="__RefHeading___Toc32469"/>
      <w:bookmarkEnd w:id="12"/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2.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数智赋能，全链智慧监管</w:t>
      </w:r>
    </w:p>
    <w:p>
      <w:pPr>
        <w:pStyle w:val="Normal"/>
        <w:ind w:firstLine="640"/>
        <w:jc w:val="left"/>
        <w:rPr>
          <w:rFonts w:ascii="仿宋_GB2312;方正仿宋_GBK" w:hAnsi="仿宋_GB2312;方正仿宋_GBK" w:eastAsia="仿宋_GB2312;方正仿宋_GBK" w:cs="仿宋_GB2312;方正仿宋_GBK"/>
          <w:color w:val="000000"/>
          <w:sz w:val="32"/>
          <w:szCs w:val="32"/>
        </w:rPr>
      </w:pP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在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研制环节，完善药品、医疗机构制剂、中药材及中药民族药饮片标准数据库；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在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生产环节，升级综合监管平台企业端，完善生产检查全流程线上办理，搭建高风险品种检验预警系统；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在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经营环节，优化药品批发监督检查模块，建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成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药店管控、药品经营企业信息档案、人员管理等系统。提升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黔药通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APP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业务支撑能力，强化风险预警等功能，提升现场执法效率。</w:t>
      </w:r>
    </w:p>
    <w:p>
      <w:pPr>
        <w:pStyle w:val="Normal"/>
        <w:numPr>
          <w:ilvl w:val="0"/>
          <w:numId w:val="0"/>
        </w:numPr>
        <w:ind w:firstLine="640"/>
        <w:jc w:val="left"/>
        <w:outlineLvl w:val="2"/>
        <w:rPr>
          <w:rFonts w:ascii="仿宋_GB2312;方正仿宋_GBK" w:hAnsi="仿宋_GB2312;方正仿宋_GBK" w:eastAsia="仿宋_GB2312;方正仿宋_GBK" w:cs="仿宋_GB2312;方正仿宋_GBK"/>
          <w:color w:val="000000"/>
          <w:sz w:val="32"/>
          <w:szCs w:val="32"/>
        </w:rPr>
      </w:pPr>
      <w:bookmarkStart w:id="13" w:name="__RefHeading___Toc21773"/>
      <w:bookmarkEnd w:id="13"/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3.</w:t>
      </w:r>
      <w:r>
        <w:rPr>
          <w:rFonts w:ascii="Times New Roman" w:hAnsi="Times New Roman" w:cs="Times New Roman" w:eastAsia="仿宋_GB2312;方正仿宋_GBK"/>
          <w:color w:val="000000"/>
          <w:sz w:val="32"/>
          <w:szCs w:val="32"/>
        </w:rPr>
        <w:t>技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术深耕，拓展</w:t>
      </w:r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AI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应用</w:t>
      </w:r>
    </w:p>
    <w:p>
      <w:pPr>
        <w:pStyle w:val="Normal"/>
        <w:ind w:firstLine="640"/>
        <w:jc w:val="left"/>
        <w:rPr>
          <w:rFonts w:ascii="仿宋_GB2312;方正仿宋_GBK" w:hAnsi="仿宋_GB2312;方正仿宋_GBK" w:eastAsia="仿宋_GB2312;方正仿宋_GBK" w:cs="仿宋_GB2312;方正仿宋_GBK"/>
          <w:color w:val="000000"/>
          <w:sz w:val="32"/>
          <w:szCs w:val="32"/>
        </w:rPr>
      </w:pP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推进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两品一械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审评审批大模型与智能体应用，拓展</w:t>
      </w:r>
      <w:r>
        <w:rPr>
          <w:rFonts w:eastAsia="仿宋_GB2312;方正仿宋_GBK" w:cs="仿宋_GB2312;方正仿宋_GBK" w:ascii="仿宋_GB2312;方正仿宋_GBK" w:hAnsi="仿宋_GB2312;方正仿宋_GBK"/>
          <w:color w:val="000000"/>
          <w:sz w:val="32"/>
          <w:szCs w:val="32"/>
        </w:rPr>
        <w:t>AI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在审评审批、现场监管、远程监管、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检验检测、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药物警戒、政策咨询、业务查询及日常办公等场景应用。运用语音识别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与记录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、知识图谱等技术，实现执法信息智能录入、线索发现、文书自动生成，规范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监管执法工作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流程。依托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贵人智办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大模型优化政务智能服务，借助大语言模型提升办公智能化水平。优化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风险</w:t>
      </w:r>
      <w:r>
        <w:rPr>
          <w:rFonts w:eastAsia="仿宋_GB2312;方正仿宋_GBK" w:cs="仿宋_GB2312;方正仿宋_GBK" w:ascii="仿宋_GB2312;方正仿宋_GBK" w:hAnsi="仿宋_GB2312;方正仿宋_GBK"/>
          <w:color w:val="000000"/>
          <w:sz w:val="32"/>
          <w:szCs w:val="32"/>
        </w:rPr>
        <w:t>+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信用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分级分类监管系统，实施差异化检查模式，推动非现场监管。</w:t>
      </w:r>
    </w:p>
    <w:tbl>
      <w:tblPr>
        <w:tblW w:w="90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：贵州省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数字药监</w:t>
            </w:r>
            <w:r>
              <w:rPr>
                <w:rFonts w:ascii="Times New Roman" w:hAnsi="Times New Roman" w:cs="Times New Roman" w:eastAsia="Times New Roman"/>
                <w:b/>
                <w:bCs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一体化智慧监管平台项目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贵州药监综合监管平台国产化改造项目。依托云上贵州信创环境，推进药监综合监管平台基础软件、云资源、云密码及云安全的国产化替代。重点对行政审批、监督检查、质量抽检、追溯监管及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两个档案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管理等核心业务模块进行国产化适配。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贵州省药品安全风险监测和预警系统建设项目。构建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AI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基础服务支撑平台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建设药监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AI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知识库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建立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监测预警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>—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会商研判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>—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指令处置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>—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跟踪回溯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的风险流程，强化对重点品种、重点企业和重点环节的风险感知、智能预警和协同处置能力，全面提升风险监管效能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eastAsia="仿宋;方正仿宋_GBK" w:cs="仿宋;方正仿宋_GBK" w:ascii="仿宋;方正仿宋_GBK" w:hAnsi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人工智能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+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药品监管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重点场景应用建设项目。以《药品监管人工智能大模型应用指南》《国家药监局关于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人工智能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+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药品监管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的实施意见》为指导，依托人工智能算力、模型算法等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AI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基础服务支撑平台，着力推动人工智能在辅助药品监管政务服务、社会治理、机关办公、检验检测、药物警戒等领域的深度应用。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4.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贵州省药品全链条追溯监管智能化升级项目。升级省级药品追溯监管系统，以追溯监管模块为核心，健全全品种全链条追溯数据协同共享机制，打通监管端与企业端追溯数据通道；构建追溯数据异常分析风险预警模型，提升流通环节风险监测能力；推动追溯数据在研发、生产、流通、使用全环节的共享复用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贵州省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药品智慧服务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项目。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优化贵州药监综合监管平台企业端功能，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打造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一站式、全周期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产业服务门户，对接政务服务网，整合企业办事流程，实现线上办理与数据统一上报。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6.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贵州省医疗器械检验检测数字化改造升级项目。升级省医疗器械检测中心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LIMS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系统，实现有源器械、无源器械及洁净区等领域全面信息化管理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建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成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检验检测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专题数据库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，支撑日常监管与检验检测数字化转型。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_GB2312;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7.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贵州省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数智药监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门户升级项目。整合优化行政审批、监督检查、追溯监管、检验检测、风险分析、信用管理、企业端等各核心模块，实现功能闭环；深化与国家药品智慧监管平台及市、县两级监管系统对接，推动跨省跨区域跨层级数据互联互通和业务协同。提升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黔药通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”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APP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业务支撑能力，进一步提升现场监管和执法效能。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14" w:name="__RefHeading___Toc4553"/>
      <w:bookmarkEnd w:id="14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四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）兴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  <w:lang w:eastAsia="zh-CN"/>
        </w:rPr>
        <w:t>“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贵药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  <w:lang w:eastAsia="zh-CN"/>
        </w:rPr>
        <w:t>”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产业：激活高质量发展动能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15" w:name="__RefHeading___Toc11611"/>
      <w:bookmarkEnd w:id="15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eastAsia="仿宋;方正仿宋_GBK" w:cs="仿宋;方正仿宋_GBK" w:ascii="仿宋;方正仿宋_GBK" w:hAnsi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贵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领航，做强特色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产业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（</w:t>
      </w:r>
      <w:r>
        <w:rPr>
          <w:rFonts w:eastAsia="仿宋_GB2312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）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val="en-US" w:eastAsia="zh-CN"/>
        </w:rPr>
        <w:t>支持中药民族药传承创新。鼓励和引导中药生产企业参与中药材标准化种植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；开展中药饮片质量标准复核及质量技术指导工作，强化中药饮片标准制修订保障能力；支持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挖掘民族民间经方验方资源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向医疗机构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制剂研发转化。深化产学研协同，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建立“贵药”创新项目库，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促进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中药民族药创新药研发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。推进中药保护品种认定，持续推进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中药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民族药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质量标准提升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。推动中药制造业数智化、绿色化升级，壮大龙头企业集群。</w:t>
      </w:r>
    </w:p>
    <w:p>
      <w:pPr>
        <w:pStyle w:val="Normal"/>
        <w:spacing w:lineRule="exact" w:line="600"/>
        <w:ind w:firstLine="640"/>
        <w:rPr>
          <w:rFonts w:ascii="仿宋_GB2312;方正仿宋_GBK" w:hAnsi="仿宋_GB2312;方正仿宋_GBK" w:eastAsia="仿宋_GB2312;方正仿宋_GBK" w:cs="仿宋_GB2312;方正仿宋_GBK"/>
          <w:b/>
          <w:b/>
          <w:bCs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化学药品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研发创新。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在药品注册核查、生产许可办理等方面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“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一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品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一策、提前介入、全程指导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”。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加强对原创新药、首仿药研发支持服务，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获批</w:t>
      </w:r>
      <w:r>
        <w:rPr>
          <w:rFonts w:eastAsia="仿宋_GB2312;方正仿宋_GBK" w:cs="Times New Roman" w:ascii="Times New Roman" w:hAnsi="Times New Roman"/>
          <w:color w:val="000000"/>
          <w:sz w:val="32"/>
          <w:szCs w:val="32"/>
          <w:lang w:val="en-US" w:eastAsia="zh-CN"/>
        </w:rPr>
        <w:t>2-3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val="en-US" w:eastAsia="zh-CN"/>
        </w:rPr>
        <w:t>个仿制药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。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支持创新产品和技术在黔转化落地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eastAsia="zh-CN"/>
        </w:rPr>
        <w:t>，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</w:rPr>
        <w:t>支持化学原料药、高端药用辅料生产企业的引进和培育。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生物制品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研发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制造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以支持血液制品企业积极申报新品种为重点，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力争获批生物制品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  <w:lang w:val="en-US" w:eastAsia="zh-CN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个</w:t>
      </w:r>
      <w:r>
        <w:rPr>
          <w:rFonts w:ascii="Times New Roman" w:hAnsi="Times New Roman" w:cs="Times New Roman" w:eastAsia="仿宋;方正仿宋_GBK"/>
          <w:b/>
          <w:bCs/>
          <w:color w:val="000000"/>
          <w:sz w:val="32"/>
          <w:szCs w:val="32"/>
          <w:lang w:val="en-US" w:eastAsia="zh-CN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扩大血液制品产能，增强战略保障能力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高校、科研院所开展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生物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制品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为引进生物制品研发机构、生产企业提供一对一服务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spacing w:lineRule="exact" w:line="600"/>
        <w:ind w:firstLine="640"/>
        <w:rPr>
          <w:rFonts w:ascii="Times New Roman" w:hAnsi="Times New Roman" w:eastAsia="仿宋;方正仿宋_GBK" w:cs="Times New Roman"/>
          <w:b w:val="false"/>
          <w:b w:val="false"/>
          <w:bCs w:val="false"/>
          <w:color w:val="000000"/>
          <w:kern w:val="0"/>
          <w:sz w:val="32"/>
          <w:szCs w:val="32"/>
          <w:shd w:fill="FFFFFF" w:val="clear"/>
          <w:lang w:val="en-US" w:eastAsia="zh-CN" w:bidi="ar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）支持医疗器械研发创新。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推动医疗器械临床创新成果转化“春雨行动”。鼓励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三类医疗器械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研发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重点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支持在医疗器械空白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领域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实现突破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积极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引导具有民族特色的医疗器械健康发展。通过提前介入、加强指导、持续培育，推动具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有高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临床价值的医疗器械加速上市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，力争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  <w:lang w:eastAsia="zh-CN"/>
        </w:rPr>
        <w:t>新增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</w:rPr>
        <w:t>三类医疗器械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  <w:lang w:eastAsia="zh-CN"/>
        </w:rPr>
        <w:t>注册</w:t>
      </w:r>
      <w:r>
        <w:rPr>
          <w:rFonts w:eastAsia="仿宋;方正仿宋_GBK" w:cs="Times New Roman" w:ascii="Times New Roman" w:hAnsi="Times New Roman"/>
          <w:b w:val="false"/>
          <w:bCs w:val="false"/>
          <w:color w:val="000000"/>
          <w:sz w:val="32"/>
          <w:szCs w:val="32"/>
          <w:lang w:val="en-US" w:eastAsia="zh-CN"/>
        </w:rPr>
        <w:t>2-3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  <w:lang w:val="en-US" w:eastAsia="zh-CN"/>
        </w:rPr>
        <w:t>个、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</w:rPr>
        <w:t>二类医疗器械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  <w:lang w:eastAsia="zh-CN"/>
        </w:rPr>
        <w:t>注册</w:t>
      </w:r>
      <w:r>
        <w:rPr>
          <w:rFonts w:eastAsia="仿宋;方正仿宋_GBK" w:cs="Times New Roman" w:ascii="Times New Roman" w:hAnsi="Times New Roman"/>
          <w:b w:val="false"/>
          <w:bCs w:val="false"/>
          <w:color w:val="000000"/>
          <w:sz w:val="32"/>
          <w:szCs w:val="32"/>
          <w:lang w:val="en-US" w:eastAsia="zh-CN"/>
        </w:rPr>
        <w:t>200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2"/>
          <w:szCs w:val="32"/>
          <w:lang w:val="en-US" w:eastAsia="zh-CN"/>
        </w:rPr>
        <w:t>个。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6"/>
          <w:szCs w:val="36"/>
        </w:rPr>
      </w:pP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（</w:t>
      </w:r>
      <w:r>
        <w:rPr>
          <w:rFonts w:eastAsia="仿宋;方正仿宋_GBK" w:cs="Times New Roman" w:ascii="Times New Roman" w:hAnsi="Times New Roman"/>
          <w:color w:val="000000"/>
          <w:sz w:val="36"/>
          <w:szCs w:val="36"/>
        </w:rPr>
        <w:t>5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）支持化妆品产业发展。支持利用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  <w:lang w:val="en-US" w:eastAsia="zh-CN"/>
        </w:rPr>
        <w:t>贵州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特色植物资源开发化妆品新原料及产品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6"/>
          <w:szCs w:val="36"/>
        </w:rPr>
        <w:t>，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6"/>
          <w:szCs w:val="36"/>
          <w:lang w:eastAsia="zh-CN"/>
        </w:rPr>
        <w:t>力争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6"/>
          <w:szCs w:val="36"/>
          <w:lang w:val="en-US" w:eastAsia="zh-CN"/>
        </w:rPr>
        <w:t>完成</w:t>
      </w:r>
      <w:r>
        <w:rPr>
          <w:rFonts w:eastAsia="仿宋;方正仿宋_GBK" w:cs="Times New Roman" w:ascii="Times New Roman" w:hAnsi="Times New Roman"/>
          <w:b w:val="false"/>
          <w:bCs w:val="false"/>
          <w:color w:val="000000"/>
          <w:sz w:val="36"/>
          <w:szCs w:val="36"/>
          <w:lang w:val="en-US" w:eastAsia="zh-CN"/>
        </w:rPr>
        <w:t>1-2</w:t>
      </w:r>
      <w:r>
        <w:rPr>
          <w:rFonts w:ascii="Times New Roman" w:hAnsi="Times New Roman" w:cs="Times New Roman" w:eastAsia="仿宋;方正仿宋_GBK"/>
          <w:b w:val="false"/>
          <w:bCs w:val="false"/>
          <w:color w:val="000000"/>
          <w:sz w:val="36"/>
          <w:szCs w:val="36"/>
          <w:lang w:val="en-US" w:eastAsia="zh-CN"/>
        </w:rPr>
        <w:t>个化妆品新原料注册、备案或使用化妆品新原料的普通化妆品。</w:t>
      </w:r>
      <w:r>
        <w:rPr>
          <w:rFonts w:ascii="Times New Roman" w:hAnsi="Times New Roman" w:cs="Times New Roman" w:eastAsia="仿宋;方正仿宋_GBK"/>
          <w:strike w:val="false"/>
          <w:dstrike w:val="false"/>
          <w:color w:val="000000"/>
          <w:sz w:val="36"/>
          <w:szCs w:val="36"/>
          <w:lang w:eastAsia="zh-CN"/>
        </w:rPr>
        <w:t>持续优化服务机制，加强企业技术指导力度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。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对化妆品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  <w:lang w:eastAsia="zh-CN"/>
        </w:rPr>
        <w:t>企业开展</w:t>
      </w:r>
      <w:r>
        <w:rPr>
          <w:rFonts w:ascii="Times New Roman" w:hAnsi="Times New Roman" w:cs="Times New Roman" w:eastAsia="仿宋;方正仿宋_GBK"/>
          <w:color w:val="000000"/>
          <w:sz w:val="36"/>
          <w:szCs w:val="36"/>
        </w:rPr>
        <w:t>个性化服务指导，培育美丽经济发展新动能。</w:t>
      </w:r>
    </w:p>
    <w:tbl>
      <w:tblPr>
        <w:tblW w:w="906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促进中医药传承发展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项目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药材种植：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推动黔产药材“优质优价”，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围绕天麻、太子参、薏苡仁、石斛、黄精、白及、淫羊藿等优势单品，支持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企业自建或共建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GAP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标准化基地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30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个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。支持中药工业龙头企业在高标准中药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材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生产基地配套建设产地加工（趁鲜切制）工厂，支持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产地加工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企业发挥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头雁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作用，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把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质量保障体系向种植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加工环节延伸。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饮片炮制：推动黔产道地药材和民族习用药材规范炮制加工，支持企业对中药配方颗粒生产线的改造和提质扩能。鼓励中药生产企业与高等院校科研院所开展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中药民族药炮制理论和技术研究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。鼓励运用先进技术装备提升饮片生产的专业化、规模化、集约化水平。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中药新药开发：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发挥道地药材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品种优势，以儿科、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骨科、运动类损伤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、精神心理及其他慢性疾病等作为研究方向培育中药民族药新品种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新增中药创新药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1-2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个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。鼓励企业开展中药民族药大品种深度开发。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医疗机构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制剂：推进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黔药名方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工程实施，探索建立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“医疗机构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制剂转化绿色通道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，对基于中药经典名方、名老中医经验方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、民族医药经验方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研发的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医疗机构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制剂，在研发立项、审评审批环节给予优先支持。鼓励中药制造企业或有条件的中医医院建设区域中药制剂中心，提供制剂研发、委托配制等全流程服务。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临床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研究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支持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医疗机构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建立收集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人用经验数据的机制，科学探索经方验方临床应用价值，鼓励开展中药（民族药）真实世界研究。以国家区域医疗中心为依托，聚力攻坚临床试验能力建设短板，推动省内临床试验机构整体能力与核心竞争力全面提升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6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已上市中药：支持药品上市许可持有人以临床价值为导向，应用新技术、新工艺改进已上市中药品种。鼓励企业“讲清楚、说明白”优势品种治疗疾病的作用机制。推动说明书修订和适老化应用。帮助企业、研发机构提升知识产权能力，为企业申请中药保护品种提供技术支持和政策指导。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16" w:name="__RefHeading___Toc30083"/>
      <w:bookmarkEnd w:id="16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筑基赋能，强化发展支撑</w:t>
      </w:r>
    </w:p>
    <w:p>
      <w:pPr>
        <w:pStyle w:val="Tableofauthoritiesb05a5ea1c6cb4d1687d4359727b32308"/>
        <w:ind w:left="0" w:firstLine="640"/>
        <w:rPr>
          <w:rFonts w:ascii="仿宋_GB2312;方正仿宋_GBK" w:hAnsi="仿宋_GB2312;方正仿宋_GBK" w:eastAsia="仿宋_GB2312;方正仿宋_GBK" w:cs="仿宋_GB2312;方正仿宋_GBK"/>
          <w:b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）强化创新园区支撑。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支持省内医药产业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园区充分发挥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作用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，搭建第三方检验检测与注册申报服务中心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，提供专业化服务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。探索检查分中心建设，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搭建医药产业聚集区的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服务链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营造便利化的产业微生态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ind w:firstLine="640"/>
        <w:rPr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发展医药产业新型研发机构。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民办非企业、企业化经营的新型研发机构发展，汇聚专业人才攻关关键核心技术、高新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药品医疗器械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研发，补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齐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我省产业短板。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  <w:lang w:eastAsia="zh-CN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）完善公共研发服务平台。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支持医药产业园区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布局公共研发服务平台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，支持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公共平台集聚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CRO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（合同研究组织）、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CDMO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（合同研发生产组织），协同构建覆盖研发、中试、生产全链条的产业服务生态。依托省级药检机构，搭建创新药械检验检测平台，为企业提供技术服务，降低中小企业创新成本。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围绕企业需求，搭建公共交流平台，为企业提供产业咨询和信息交流空间。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）支持企业数智化转型。开展医药企业生产检验过程信息化试点，支持企业按照智慧监管要求进行数据采集和记录。加快高水平数字化车间和智能工厂、绿色工厂的生产许可、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GMP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符合性检查等办理，支持新质生产力发展。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17" w:name="__RefHeading___Toc23522"/>
      <w:bookmarkEnd w:id="17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改革增效，优化发展生态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  <w:highlight w:val="yellow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）提升政务服务水平。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紧扣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  <w:lang w:eastAsia="zh-CN"/>
        </w:rPr>
        <w:t>“惠企利民”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主线，拓展改革场景，探索更多事项从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  <w:lang w:eastAsia="zh-CN"/>
        </w:rPr>
        <w:t>“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信息化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  <w:lang w:eastAsia="zh-CN"/>
        </w:rPr>
        <w:t>”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向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  <w:lang w:eastAsia="zh-CN"/>
        </w:rPr>
        <w:t>“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智能化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  <w:lang w:eastAsia="zh-CN"/>
        </w:rPr>
        <w:t>”</w:t>
      </w:r>
      <w:r>
        <w:rPr>
          <w:rFonts w:ascii="CESI仿宋-GB2312" w:hAnsi="CESI仿宋-GB2312" w:cs="CESI仿宋-GB2312" w:eastAsia="CESI仿宋-GB2312"/>
          <w:color w:val="000000"/>
          <w:sz w:val="32"/>
          <w:szCs w:val="32"/>
        </w:rPr>
        <w:t>的跨越升级，持续提升审批效率，方便企业办事。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探索建立药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创新服务站模式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前置技术服务关口，在企业送检之前提供产品技术要求预评价服务。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搭建临床研发交流平台，提供预审查服务，助力创新成果转化。建立创新医疗器械临床试验项目前置检查指导服务机制。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）推进各项改革试点落地。</w:t>
      </w:r>
      <w:r>
        <w:rPr>
          <w:rFonts w:ascii="Times New Roman" w:hAnsi="Times New Roman" w:cs="Times New Roman" w:eastAsia="仿宋;方正仿宋_GBK"/>
          <w:b w:val="false"/>
          <w:bCs w:val="false"/>
          <w:strike w:val="false"/>
          <w:dstrike w:val="false"/>
          <w:color w:val="000000"/>
          <w:sz w:val="32"/>
          <w:szCs w:val="32"/>
          <w:lang w:eastAsia="zh-CN"/>
        </w:rPr>
        <w:t>积极参加国家药监局中药审评审批研究试点工作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提高审评审批效率。支持优势产品和技术在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我省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落地转化。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18" w:name="__RefHeading___Toc32236"/>
      <w:bookmarkEnd w:id="18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4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开放合作，拓宽发展空间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助力“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贵药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出海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。支持企业组建一批联合体，发挥各自优势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依托泛珠三角区域合作、中国—东盟中医药行业合作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与港澳台、海外经贸交流合作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，推动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贵药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抱团出海。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压缩药品出口销售证明办理时限，为合规企业提供高效便捷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服务。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）促进与大湾区协同发展。以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资源互补、创新联动、产业共建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为核心，深化贵州与粤港澳大湾区医药产业协同发展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仿宋_GB2312;方正仿宋_GBK" w:hAnsi="仿宋_GB2312;方正仿宋_GBK" w:cs="仿宋_GB2312;方正仿宋_GBK" w:eastAsia="仿宋_GB2312;方正仿宋_GBK"/>
          <w:color w:val="000000"/>
          <w:sz w:val="32"/>
          <w:szCs w:val="32"/>
          <w:lang w:val="en-US" w:eastAsia="zh-CN"/>
        </w:rPr>
        <w:t>支持大湾区原料药等产业向贵州转移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（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）加强国际交流合作。加强与东盟国家在中药领域的交流合作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服务好外资企业在黔项目落地，做强产业生态。</w:t>
      </w:r>
    </w:p>
    <w:tbl>
      <w:tblPr>
        <w:tblW w:w="906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firstLine="562"/>
              <w:jc w:val="center"/>
              <w:rPr>
                <w:rFonts w:ascii="Times New Roman" w:hAnsi="Times New Roman" w:eastAsia="仿宋;方正仿宋_GBK" w:cs="Times New Roman"/>
                <w:b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专栏</w:t>
            </w:r>
            <w:r>
              <w:rPr>
                <w:rFonts w:eastAsia="仿宋;方正仿宋_GBK"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：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产业高质量发展</w:t>
            </w:r>
            <w:r>
              <w:rPr>
                <w:rFonts w:ascii="Times New Roman" w:hAnsi="Times New Roman" w:cs="Times New Roman" w:eastAsia="仿宋;方正仿宋_GBK"/>
                <w:b/>
                <w:bCs/>
                <w:color w:val="000000"/>
                <w:sz w:val="28"/>
                <w:szCs w:val="28"/>
              </w:rPr>
              <w:t>重点工程</w:t>
            </w:r>
          </w:p>
        </w:tc>
      </w:tr>
      <w:tr>
        <w:trPr/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1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支持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化学药品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研发创新。支持企业积极与科研机构、医疗机构、研发服务平台等资源合作，多元布局化学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药品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，加快创新药、改良型新药、首仿药等高附加值产品的研发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重点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关注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市场潜力大的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专利到期药开发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2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支持医疗器械研发创新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。支持影像设备、手术设备等高端医疗设备，分子诊断试剂、即时检测试剂等体外诊断试剂，血管介入支架、人工关节等高值耗材研发。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支持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以中医药为特点的中医诊疗及物理治疗设备，布局磁疗、针灸、热疗等家用化康复器械发展。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3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企业数字化转型赋能计划：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把涉及数字化改造的企业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val="en-US" w:eastAsia="zh-CN"/>
              </w:rPr>
              <w:t>GMP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val="en-US" w:eastAsia="zh-CN"/>
              </w:rPr>
              <w:t>符合性检查纳入快速审评通道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。</w:t>
            </w:r>
          </w:p>
          <w:p>
            <w:pPr>
              <w:pStyle w:val="Style15"/>
              <w:widowControl/>
              <w:spacing w:lineRule="exact" w:line="560"/>
              <w:ind w:left="0" w:firstLine="560"/>
              <w:rPr>
                <w:rFonts w:ascii="Times New Roman" w:hAnsi="Times New Roman" w:eastAsia="仿宋;方正仿宋_GBK" w:cs="Times New Roman"/>
                <w:color w:val="000000"/>
                <w:sz w:val="28"/>
                <w:szCs w:val="28"/>
              </w:rPr>
            </w:pP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  <w:lang w:eastAsia="zh-CN"/>
              </w:rPr>
              <w:t>4</w:t>
            </w:r>
            <w:r>
              <w:rPr>
                <w:rFonts w:eastAsia="仿宋;方正仿宋_GBK" w:cs="Times New Roman"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仿宋;方正仿宋_GBK" w:cs="仿宋;方正仿宋_GBK" w:ascii="仿宋;方正仿宋_GBK" w:hAnsi="仿宋;方正仿宋_GBK"/>
                <w:color w:val="000000"/>
                <w:sz w:val="28"/>
                <w:szCs w:val="28"/>
                <w:lang w:eastAsia="zh-CN"/>
              </w:rPr>
              <w:t>“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贵药出海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”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护航行动：支持省内优势品种以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港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澳为桥头堡开展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  <w:lang w:eastAsia="zh-CN"/>
              </w:rPr>
              <w:t>境外药品</w:t>
            </w:r>
            <w:r>
              <w:rPr>
                <w:rFonts w:ascii="Times New Roman" w:hAnsi="Times New Roman" w:cs="Times New Roman" w:eastAsia="仿宋;方正仿宋_GBK"/>
                <w:color w:val="000000"/>
                <w:sz w:val="28"/>
                <w:szCs w:val="28"/>
              </w:rPr>
              <w:t>注册。</w:t>
            </w:r>
          </w:p>
        </w:tc>
      </w:tr>
    </w:tbl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19" w:name="__RefHeading___Toc9037"/>
      <w:bookmarkEnd w:id="19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五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）重应急能力：健全药品安全应急体系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0" w:name="__RefHeading___Toc12257"/>
      <w:bookmarkEnd w:id="20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加强预警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提高风险意识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监测预警置于应急管理的首位，强化底线思维和风险意识。健全覆盖药品生产、流通、使用全链条的风险监测体系，整合日常监管、抽检监测、不良反应监测、投诉举报、舆情监测等多源信息，建立风险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识别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—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研判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—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预警</w:t>
      </w:r>
      <w:r>
        <w:rPr>
          <w:rFonts w:ascii="Times New Roman" w:hAnsi="Times New Roman" w:cs="Times New Roman" w:eastAsia="Times New Roman"/>
          <w:color w:val="000000"/>
          <w:sz w:val="32"/>
          <w:szCs w:val="32"/>
        </w:rPr>
        <w:t>—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处置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闭环机制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1" w:name="__RefHeading___Toc30323"/>
      <w:bookmarkEnd w:id="21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体系织密，健全应急架构</w:t>
      </w:r>
    </w:p>
    <w:p>
      <w:pPr>
        <w:pStyle w:val="Normal"/>
        <w:widowControl/>
        <w:ind w:firstLine="640"/>
        <w:jc w:val="left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建立健全覆盖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val="en-US" w:eastAsia="zh-CN" w:bidi="ar"/>
        </w:rPr>
        <w:t>全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省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的药品应急管理组织体系。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完善预警处置、舆论引导、应急保障和总结评估等管理机制，推进建立舆情监测预警、处置引导等一体化舆情工作体系。强化跨部门协同联动，健全与卫健、医保、公安、宣传等部门的应急协作机制，实现措施联动、应对协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2" w:name="__RefHeading___Toc30337"/>
      <w:bookmarkEnd w:id="22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3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实训强能，筑牢应急防线</w:t>
      </w:r>
    </w:p>
    <w:p>
      <w:pPr>
        <w:pStyle w:val="Normal"/>
        <w:widowControl/>
        <w:ind w:firstLine="640"/>
        <w:jc w:val="left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把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应急管理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知识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纳入药品监管干部教育培训，不断强化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全员应急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意识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省级每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年至少开展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次，市、县级每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  <w:lang w:val="en-US" w:eastAsia="zh-CN"/>
        </w:rPr>
        <w:t>3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年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至少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开展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次综合性药品安全事件应急演练。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聚焦高风险品种、新兴业态等风险点，设置多类型演练情景，覆盖信息报告、指挥决策、产品溯源、患者救治、舆情引导等全流程环节。</w:t>
      </w:r>
    </w:p>
    <w:p>
      <w:pPr>
        <w:pStyle w:val="Normal"/>
        <w:widowControl/>
        <w:numPr>
          <w:ilvl w:val="0"/>
          <w:numId w:val="0"/>
        </w:numPr>
        <w:ind w:firstLine="640"/>
        <w:jc w:val="left"/>
        <w:outlineLvl w:val="2"/>
        <w:rPr>
          <w:rFonts w:ascii="Times New Roman" w:hAnsi="Times New Roman" w:eastAsia="仿宋;方正仿宋_GBK" w:cs="Times New Roman"/>
          <w:color w:val="000000"/>
          <w:kern w:val="2"/>
          <w:sz w:val="32"/>
          <w:szCs w:val="32"/>
          <w:lang w:bidi="ar"/>
        </w:rPr>
      </w:pPr>
      <w:bookmarkStart w:id="23" w:name="__RefHeading___Toc28921"/>
      <w:bookmarkEnd w:id="23"/>
      <w:r>
        <w:rPr>
          <w:rFonts w:eastAsia="仿宋;方正仿宋_GBK" w:cs="Times New Roman" w:ascii="Times New Roman" w:hAnsi="Times New Roman"/>
          <w:color w:val="000000"/>
          <w:kern w:val="2"/>
          <w:sz w:val="32"/>
          <w:szCs w:val="32"/>
          <w:lang w:bidi="ar"/>
        </w:rPr>
        <w:t>4.</w:t>
      </w:r>
      <w:r>
        <w:rPr>
          <w:rFonts w:ascii="Times New Roman" w:hAnsi="Times New Roman" w:cs="Times New Roman" w:eastAsia="仿宋;方正仿宋_GBK"/>
          <w:color w:val="000000"/>
          <w:kern w:val="2"/>
          <w:sz w:val="32"/>
          <w:szCs w:val="32"/>
          <w:lang w:bidi="ar"/>
        </w:rPr>
        <w:t>多措并举，夯实应急基础</w:t>
      </w:r>
    </w:p>
    <w:p>
      <w:pPr>
        <w:pStyle w:val="Normal"/>
        <w:widowControl/>
        <w:ind w:firstLine="640"/>
        <w:jc w:val="left"/>
        <w:rPr>
          <w:rFonts w:ascii="仿宋;方正仿宋_GBK" w:hAnsi="仿宋;方正仿宋_GBK" w:eastAsia="仿宋;方正仿宋_GBK" w:cs="仿宋;方正仿宋_GBK"/>
          <w:color w:val="000000"/>
          <w:kern w:val="0"/>
          <w:sz w:val="32"/>
          <w:szCs w:val="32"/>
          <w:lang w:bidi="ar"/>
        </w:rPr>
      </w:pP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加强应急装备和物资保障，探索应用新技术、新设备提升应急保障水平，建立应急检验检测设备和物资储备清单，确保突发事件发生时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eastAsia="zh-CN" w:bidi="ar"/>
        </w:rPr>
        <w:t>“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拿得出、用得上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eastAsia="zh-CN" w:bidi="ar"/>
        </w:rPr>
        <w:t>”</w:t>
      </w:r>
      <w:r>
        <w:rPr>
          <w:rFonts w:ascii="仿宋;方正仿宋_GBK" w:hAnsi="仿宋;方正仿宋_GBK" w:cs="仿宋;方正仿宋_GBK" w:eastAsia="仿宋;方正仿宋_GBK"/>
          <w:color w:val="000000"/>
          <w:kern w:val="0"/>
          <w:sz w:val="32"/>
          <w:szCs w:val="32"/>
          <w:lang w:bidi="ar"/>
        </w:rPr>
        <w:t>。加强网络安全监测和应急保障，制定网络安全应急预案，定期组织网络安全应急演练。督促药品上市许可持有人、生产经营企业健全内部应急管理机制，定期开展应急培训和演练。</w:t>
      </w:r>
    </w:p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24" w:name="__RefHeading___Toc28634"/>
      <w:bookmarkEnd w:id="24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六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）聚共治合力：构建社会协同治理格局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5" w:name="__RefHeading___Toc19911"/>
      <w:bookmarkEnd w:id="25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1.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多元联动，凝聚共治力量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推动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两品一械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企业、公众参与监管，建立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政府主导</w:t>
      </w:r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+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多元协同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治理模式。提高公众药品信息透明度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优化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系统用户体验水平，保障消费者知情权与参与权。引导企业自律与诚信经营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充分发挥行业协会的桥梁作用和自律作用，推广先进质量管理经验和创新实践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提升企业与监管的业务协同能力。</w:t>
      </w:r>
    </w:p>
    <w:p>
      <w:pPr>
        <w:pStyle w:val="Normal"/>
        <w:numPr>
          <w:ilvl w:val="0"/>
          <w:numId w:val="0"/>
        </w:numPr>
        <w:ind w:firstLine="640"/>
        <w:outlineLvl w:val="2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6" w:name="__RefHeading___Toc29697"/>
      <w:bookmarkEnd w:id="26"/>
      <w:r>
        <w:rPr>
          <w:rFonts w:eastAsia="仿宋;方正仿宋_GBK" w:cs="Times New Roman" w:ascii="Times New Roman" w:hAnsi="Times New Roman"/>
          <w:color w:val="000000"/>
          <w:sz w:val="32"/>
          <w:szCs w:val="32"/>
        </w:rPr>
        <w:t>2.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宣贯浸润，共护药品安全</w:t>
      </w:r>
    </w:p>
    <w:p>
      <w:pPr>
        <w:pStyle w:val="Tableofauthoritiesb05a5ea1c6cb4d1687d4359727b32308"/>
        <w:ind w:left="0"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加强安全监管宣贯工作。以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防范风险、查办案件、提升能力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为工作主线，深入推进法律法规的宣传与贯彻，提升公众参与意识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营造良好的药品安全环境与氛围。加强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用药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知识科普宣传，提升公众安全用药意识和应急避险能力。加大对典型案例的曝光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度，保障人民群众用药、用械、用妆的安全。</w:t>
      </w:r>
    </w:p>
    <w:p>
      <w:pPr>
        <w:pStyle w:val="Normal"/>
        <w:numPr>
          <w:ilvl w:val="0"/>
          <w:numId w:val="0"/>
        </w:numPr>
        <w:ind w:firstLine="640"/>
        <w:outlineLvl w:val="0"/>
        <w:rPr>
          <w:rFonts w:ascii="黑体;方正黑体_GBK" w:hAnsi="黑体;方正黑体_GBK" w:eastAsia="黑体;方正黑体_GBK" w:cs="黑体;方正黑体_GBK"/>
          <w:color w:val="000000"/>
          <w:sz w:val="32"/>
          <w:szCs w:val="32"/>
        </w:rPr>
      </w:pPr>
      <w:bookmarkStart w:id="27" w:name="__RefHeading___Toc4677"/>
      <w:bookmarkEnd w:id="27"/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  <w:lang w:val="en-US" w:eastAsia="zh-CN"/>
        </w:rPr>
        <w:t>三</w:t>
      </w:r>
      <w:r>
        <w:rPr>
          <w:rFonts w:ascii="黑体;方正黑体_GBK" w:hAnsi="黑体;方正黑体_GBK" w:cs="黑体;方正黑体_GBK" w:eastAsia="黑体;方正黑体_GBK"/>
          <w:color w:val="000000"/>
          <w:sz w:val="32"/>
          <w:szCs w:val="32"/>
        </w:rPr>
        <w:t>、保障措施</w:t>
      </w:r>
    </w:p>
    <w:p>
      <w:pPr>
        <w:pStyle w:val="Normal"/>
        <w:numPr>
          <w:ilvl w:val="0"/>
          <w:numId w:val="0"/>
        </w:numPr>
        <w:ind w:firstLine="640"/>
        <w:outlineLvl w:val="1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bookmarkStart w:id="28" w:name="__RefHeading___Toc20946"/>
      <w:bookmarkEnd w:id="28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（一）加强组织领导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坚持党对药品监管工作的全面领导，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把“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四个最严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”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要求贯穿于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行动方案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实施全过程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，做到守土有责、守土尽责。加强对药品安全和高质量发展工作的组织领导，积极推动解决影响本地药品安全的重点问题。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推动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省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级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各有关部门充分发挥各自优势，密切配合，协同联动，共同研究和完善相关政策措施，形成工作合力。</w:t>
      </w:r>
    </w:p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29" w:name="__RefHeading___Toc7305"/>
      <w:bookmarkEnd w:id="29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（二）</w:t>
      </w:r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加强政策保障</w:t>
      </w:r>
    </w:p>
    <w:p>
      <w:pPr>
        <w:pStyle w:val="Normal"/>
        <w:ind w:firstLine="640"/>
        <w:rPr>
          <w:rFonts w:ascii="Times New Roman" w:hAnsi="Times New Roman" w:eastAsia="仿宋;方正仿宋_GBK" w:cs="Times New Roman"/>
          <w:color w:val="000000"/>
          <w:sz w:val="32"/>
          <w:szCs w:val="32"/>
        </w:rPr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落实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经费保障政策，合理安排监管经费，确保各项工作有序推进。优化营商环境，激发市场主体活力。加强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行动方案的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宣传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解读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，广泛凝聚全社会各方面力量共同参与实施，贯彻尊重劳动、尊重知识、尊重人才、尊重创造的方针，激发全社会创新创造活力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p>
      <w:pPr>
        <w:pStyle w:val="Normal"/>
        <w:numPr>
          <w:ilvl w:val="0"/>
          <w:numId w:val="0"/>
        </w:numPr>
        <w:ind w:firstLine="640"/>
        <w:outlineLvl w:val="1"/>
        <w:rPr>
          <w:rFonts w:ascii="楷体;方正楷体_GBK" w:hAnsi="楷体;方正楷体_GBK" w:eastAsia="楷体;方正楷体_GBK" w:cs="楷体;方正楷体_GBK"/>
          <w:color w:val="000000"/>
          <w:sz w:val="32"/>
          <w:szCs w:val="32"/>
        </w:rPr>
      </w:pPr>
      <w:bookmarkStart w:id="30" w:name="__RefHeading___Toc22267"/>
      <w:bookmarkEnd w:id="30"/>
      <w:r>
        <w:rPr>
          <w:rFonts w:ascii="楷体;方正楷体_GBK" w:hAnsi="楷体;方正楷体_GBK" w:cs="楷体;方正楷体_GBK" w:eastAsia="楷体;方正楷体_GBK"/>
          <w:color w:val="000000"/>
          <w:sz w:val="32"/>
          <w:szCs w:val="32"/>
        </w:rPr>
        <w:t>（三）落实监督评估</w:t>
      </w:r>
    </w:p>
    <w:p>
      <w:pPr>
        <w:pStyle w:val="Normal"/>
        <w:ind w:firstLine="640"/>
        <w:rPr/>
      </w:pP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对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行动方案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确定的目标、重点任务和改革措施进行细化分解，明确责任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eastAsia="zh-CN"/>
        </w:rPr>
        <w:t>处室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单位和时间节点，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开展年度监测分析、中期评估和总结评估等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  <w:lang w:val="en-US" w:eastAsia="zh-CN"/>
        </w:rPr>
        <w:t>工作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，对主要任务和重点工程进展情况进行动态跟踪及实施效果评估</w:t>
      </w:r>
      <w:r>
        <w:rPr>
          <w:rFonts w:ascii="Times New Roman" w:hAnsi="Times New Roman" w:cs="Times New Roman" w:eastAsia="仿宋;方正仿宋_GBK"/>
          <w:color w:val="000000"/>
          <w:sz w:val="32"/>
          <w:szCs w:val="32"/>
        </w:rPr>
        <w:t>。</w:t>
      </w:r>
    </w:p>
    <w:sectPr>
      <w:headerReference w:type="default" r:id="rId6"/>
      <w:footerReference w:type="default" r:id="rId7"/>
      <w:type w:val="nextPage"/>
      <w:pgSz w:w="11906" w:h="16838"/>
      <w:pgMar w:left="1587" w:right="1474" w:gutter="0" w:header="720" w:top="2098" w:footer="720" w:bottom="1984"/>
      <w:pgNumType w:start="1"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altName w:val="DejaVu Sans"/>
    <w:charset w:val="00"/>
    <w:family w:val="swiss"/>
    <w:pitch w:val="default"/>
  </w:font>
  <w:font w:name="MingLiU">
    <w:altName w:val="MT Extra"/>
    <w:charset w:val="00"/>
    <w:family w:val="modern"/>
    <w:pitch w:val="default"/>
  </w:font>
  <w:font w:name="Liberation Sans">
    <w:altName w:val="Arial"/>
    <w:charset w:val="00"/>
    <w:family w:val="swiss"/>
    <w:pitch w:val="default"/>
  </w:font>
  <w:font w:name="宋体">
    <w:altName w:val="方正书宋_GBK"/>
    <w:charset w:val="86"/>
    <w:family w:val="auto"/>
    <w:pitch w:val="default"/>
  </w:font>
  <w:font w:name="Times New Roman">
    <w:charset w:val="00"/>
    <w:family w:val="roman"/>
    <w:pitch w:val="default"/>
  </w:font>
  <w:font w:name="方正小标宋简体">
    <w:charset w:val="86"/>
    <w:family w:val="auto"/>
    <w:pitch w:val="default"/>
  </w:font>
  <w:font w:name="黑体">
    <w:altName w:val="方正黑体_GBK"/>
    <w:charset w:val="00"/>
    <w:family w:val="auto"/>
    <w:pitch w:val="default"/>
  </w:font>
  <w:font w:name="仿宋">
    <w:altName w:val="方正仿宋_GBK"/>
    <w:charset w:val="00"/>
    <w:family w:val="modern"/>
    <w:pitch w:val="default"/>
  </w:font>
  <w:font w:name="仿宋_GB2312">
    <w:altName w:val="方正仿宋_GBK"/>
    <w:charset w:val="00"/>
    <w:family w:val="auto"/>
    <w:pitch w:val="default"/>
  </w:font>
  <w:font w:name="方正楷体_GBK">
    <w:charset w:val="86"/>
    <w:family w:val="auto"/>
    <w:pitch w:val="default"/>
  </w:font>
  <w:font w:name="楷体">
    <w:altName w:val="方正楷体_GBK"/>
    <w:charset w:val="00"/>
    <w:family w:val="modern"/>
    <w:pitch w:val="default"/>
  </w:font>
  <w:font w:name="CESI仿宋-GB2312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center" w:pos="4422" w:leader="none"/>
        <w:tab w:val="right" w:pos="8306" w:leader="none"/>
      </w:tabs>
      <w:rPr>
        <w:lang w:eastAsia="zh-CN"/>
      </w:rPr>
    </w:pPr>
    <w:r>
      <w:rPr>
        <w:lang w:eastAsia="zh-CN"/>
      </w:rPr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center" w:pos="4153" w:leader="none"/>
        <w:tab w:val="center" w:pos="4422" w:leader="none"/>
        <w:tab w:val="right" w:pos="8306" w:leader="none"/>
      </w:tabs>
      <w:rPr>
        <w:lang w:eastAsia="zh-CN"/>
      </w:rPr>
    </w:pPr>
    <w:r>
      <w:rPr>
        <w:lang w:eastAsia="zh-CN"/>
      </w:rPr>
      <w:tab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  <w:r>
      <mc:AlternateContent>
        <mc:Choice Requires="wps">
          <w:drawing>
            <wp:anchor behindDoc="1" distT="0" distB="0" distL="114935" distR="114935" simplePos="0" locked="0" layoutInCell="0" allowOverlap="1" relativeHeight="2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16205" cy="12763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" cy="12763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25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9.15pt;height:10.05pt;mso-wrap-distance-left:9.05pt;mso-wrap-distance-right:9.05pt;mso-wrap-distance-top:0pt;mso-wrap-distance-bottom:0pt;margin-top:0pt;mso-position-vertical-relative:text;margin-left:216.55pt;mso-position-horizontal:center;mso-position-horizontal-relative:margin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Footer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fldChar w:fldCharType="begin"/>
                    </w:r>
                    <w:r>
                      <w:rPr>
                        <w:rFonts w:cs="Times New Roman" w:ascii="Times New Roman" w:hAnsi="Times New Roman"/>
                      </w:rPr>
                      <w:instrText xml:space="preserve"> PAGE </w:instrText>
                    </w:r>
                    <w:r>
                      <w:rPr>
                        <w:rFonts w:cs="Times New Roman" w:ascii="Times New Roman" w:hAnsi="Times New Roman"/>
                      </w:rPr>
                      <w:fldChar w:fldCharType="separate"/>
                    </w:r>
                    <w:r>
                      <w:rPr>
                        <w:rFonts w:cs="Times New Roman" w:ascii="Times New Roman" w:hAnsi="Times New Roman"/>
                      </w:rPr>
                      <w:t>25</w:t>
                    </w:r>
                    <w:r>
                      <w:rPr>
                        <w:rFonts w:cs="Times New Roman"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ind w:firstLine="360"/>
      <w:jc w:val="both"/>
      <w:rPr>
        <w:rFonts w:ascii="Times New Roman" w:hAnsi="Times New Roman" w:eastAsia="仿宋_GB2312;方正仿宋_GBK" w:cs="Times New Roman"/>
        <w:kern w:val="2"/>
        <w:sz w:val="18"/>
        <w:szCs w:val="24"/>
        <w:lang w:val="en-US" w:eastAsia="zh-CN" w:bidi="ar-SA"/>
      </w:rPr>
    </w:pPr>
    <w:r>
      <w:rPr>
        <w:rFonts w:eastAsia="仿宋_GB2312;方正仿宋_GBK" w:cs="Times New Roman" w:ascii="Times New Roman" w:hAnsi="Times New Roman"/>
        <w:kern w:val="2"/>
        <w:sz w:val="18"/>
        <w:szCs w:val="24"/>
        <w:lang w:val="en-US" w:eastAsia="zh-CN" w:bidi="ar-SA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ind w:firstLine="360"/>
      <w:jc w:val="both"/>
      <w:rPr>
        <w:rFonts w:ascii="Times New Roman" w:hAnsi="Times New Roman" w:eastAsia="仿宋_GB2312;方正仿宋_GBK" w:cs="Times New Roman"/>
        <w:kern w:val="2"/>
        <w:sz w:val="18"/>
        <w:szCs w:val="24"/>
        <w:lang w:val="en-US" w:eastAsia="zh-CN" w:bidi="ar-SA"/>
      </w:rPr>
    </w:pPr>
    <w:r>
      <w:rPr>
        <w:rFonts w:eastAsia="仿宋_GB2312;方正仿宋_GBK" w:cs="Times New Roman" w:ascii="Times New Roman" w:hAnsi="Times New Roman"/>
        <w:kern w:val="2"/>
        <w:sz w:val="18"/>
        <w:szCs w:val="24"/>
        <w:lang w:val="en-US" w:eastAsia="zh-CN" w:bidi="ar-SA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ind w:firstLine="360"/>
      <w:jc w:val="both"/>
      <w:rPr>
        <w:rFonts w:ascii="Times New Roman" w:hAnsi="Times New Roman" w:eastAsia="仿宋_GB2312;方正仿宋_GBK" w:cs="Times New Roman"/>
        <w:kern w:val="2"/>
        <w:sz w:val="18"/>
        <w:szCs w:val="24"/>
        <w:lang w:val="en-US" w:eastAsia="zh-CN" w:bidi="ar-SA"/>
      </w:rPr>
    </w:pPr>
    <w:r>
      <w:rPr>
        <w:rFonts w:eastAsia="仿宋_GB2312;方正仿宋_GBK" w:cs="Times New Roman" w:ascii="Times New Roman" w:hAnsi="Times New Roman"/>
        <w:kern w:val="2"/>
        <w:sz w:val="18"/>
        <w:szCs w:val="24"/>
        <w:lang w:val="en-US" w:eastAsia="zh-CN" w:bidi="ar-SA"/>
      </w:rPr>
    </w:r>
  </w:p>
</w:hdr>
</file>

<file path=word/settings.xml><?xml version="1.0" encoding="utf-8"?>
<w:settings xmlns:w="http://schemas.openxmlformats.org/wordprocessingml/2006/main">
  <w:zoom w:percent="100"/>
  <w:displayBackgroundShape/>
  <w:trackRevisions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2"/>
    <w:qFormat/>
    <w:pPr>
      <w:widowControl w:val="false"/>
      <w:suppressAutoHyphens w:val="true"/>
      <w:bidi w:val="0"/>
      <w:jc w:val="both"/>
    </w:pPr>
    <w:rPr>
      <w:rFonts w:ascii="Calibri;DejaVu Sans" w:hAnsi="Calibri;DejaVu Sans" w:eastAsia="宋体;方正书宋_GBK" w:cs="Calibri;DejaVu Sans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脚 Char"/>
    <w:qFormat/>
    <w:rPr>
      <w:rFonts w:ascii="Calibri;DejaVu Sans" w:hAnsi="Calibri;DejaVu Sans" w:cs="Calibri;DejaVu Sans"/>
      <w:kern w:val="2"/>
      <w:sz w:val="18"/>
      <w:szCs w:val="18"/>
    </w:rPr>
  </w:style>
  <w:style w:type="character" w:styleId="Char1">
    <w:name w:val="页眉 Char"/>
    <w:qFormat/>
    <w:rPr>
      <w:rFonts w:ascii="Calibri;DejaVu Sans" w:hAnsi="Calibri;DejaVu Sans" w:cs="Calibri;DejaVu Sans"/>
      <w:kern w:val="2"/>
      <w:sz w:val="18"/>
      <w:szCs w:val="18"/>
    </w:rPr>
  </w:style>
  <w:style w:type="character" w:styleId="StrongEmphasis">
    <w:name w:val="Strong Emphasis"/>
    <w:qFormat/>
    <w:rPr>
      <w:b/>
    </w:rPr>
  </w:style>
  <w:style w:type="character" w:styleId="1">
    <w:name w:val="默认段落字体1"/>
    <w:qFormat/>
    <w:rPr/>
  </w:style>
  <w:style w:type="character" w:styleId="210pt">
    <w:name w:val="正文文本 (2) + 10 pt"/>
    <w:qFormat/>
    <w:rPr>
      <w:rFonts w:ascii="MingLiU;MT Extra" w:hAnsi="MingLiU;MT Extra" w:eastAsia="MingLiU;MT Extra" w:cs="MingLiU;MT Extra"/>
      <w:color w:val="000000"/>
      <w:spacing w:val="20"/>
      <w:w w:val="100"/>
      <w:position w:val="0"/>
      <w:sz w:val="20"/>
      <w:sz w:val="20"/>
      <w:szCs w:val="20"/>
      <w:u w:val="none"/>
      <w:vertAlign w:val="baseline"/>
      <w:lang w:val="zh-TW" w:eastAsia="zh-TW" w:bidi="zh-TW"/>
    </w:rPr>
  </w:style>
  <w:style w:type="character" w:styleId="InternetLink">
    <w:name w:val="Hyperlink"/>
    <w:rPr>
      <w:color w:val="000080"/>
      <w:u w:val="single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widowControl w:val="false"/>
      <w:suppressAutoHyphens w:val="true"/>
      <w:spacing w:before="240" w:after="120"/>
    </w:pPr>
    <w:rPr>
      <w:rFonts w:ascii="Liberation Sans;汉仪新人文宋简" w:hAnsi="Liberation Sans;汉仪新人文宋简" w:eastAsia="Noto Sans CJK SC Regular" w:cs="Noto Sans CJK SC Regular"/>
      <w:sz w:val="28"/>
      <w:szCs w:val="28"/>
      <w:lang w:bidi="ar-SA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widowControl w:val="false"/>
      <w:suppressLineNumbers/>
      <w:suppressAutoHyphens w:val="true"/>
    </w:pPr>
    <w:rPr/>
  </w:style>
  <w:style w:type="paragraph" w:styleId="TextBodyIndent">
    <w:name w:val="Body Text Indent"/>
    <w:basedOn w:val="Normal"/>
    <w:next w:val="Normal"/>
    <w:pPr>
      <w:spacing w:before="0" w:after="120"/>
      <w:ind w:left="200" w:hanging="0"/>
    </w:pPr>
    <w:rPr/>
  </w:style>
  <w:style w:type="paragraph" w:styleId="2">
    <w:name w:val="正文首行缩进 2"/>
    <w:basedOn w:val="TextBodyIndent"/>
    <w:next w:val="Normal"/>
    <w:qFormat/>
    <w:pPr>
      <w:snapToGrid w:val="false"/>
      <w:spacing w:lineRule="exact" w:line="600"/>
      <w:ind w:left="0" w:hanging="0"/>
    </w:pPr>
    <w:rPr/>
  </w:style>
  <w:style w:type="paragraph" w:styleId="Style15">
    <w:name w:val="引文目录"/>
    <w:basedOn w:val="Normal"/>
    <w:next w:val="Normal"/>
    <w:qFormat/>
    <w:pPr>
      <w:widowControl w:val="false"/>
      <w:ind w:left="200" w:hanging="0"/>
    </w:pPr>
    <w:rPr>
      <w:rFonts w:ascii="宋体;方正书宋_GBK" w:hAnsi="宋体;方正书宋_GBK" w:eastAsia="宋体;方正书宋_GBK" w:cs="Times New Roman"/>
      <w:sz w:val="21"/>
      <w:lang w:val="en-US" w:eastAsia="zh-CN"/>
    </w:rPr>
  </w:style>
  <w:style w:type="paragraph" w:styleId="Style16">
    <w:name w:val="正文缩进"/>
    <w:basedOn w:val="Normal"/>
    <w:qFormat/>
    <w:pPr>
      <w:ind w:firstLine="200"/>
    </w:pPr>
    <w:rPr/>
  </w:style>
  <w:style w:type="paragraph" w:styleId="Style17">
    <w:name w:val="题注"/>
    <w:basedOn w:val="Normal"/>
    <w:qFormat/>
    <w:pPr>
      <w:widowControl w:val="false"/>
      <w:suppressLineNumbers/>
      <w:suppressAutoHyphens w:val="true"/>
      <w:spacing w:before="120" w:after="120"/>
    </w:pPr>
    <w:rPr>
      <w:i/>
      <w:iCs/>
      <w:sz w:val="24"/>
      <w:szCs w:val="24"/>
    </w:rPr>
  </w:style>
  <w:style w:type="paragraph" w:styleId="Style18">
    <w:name w:val="批注文字"/>
    <w:basedOn w:val="Normal"/>
    <w:qFormat/>
    <w:pPr>
      <w:jc w:val="left"/>
    </w:pPr>
    <w:rPr/>
  </w:style>
  <w:style w:type="paragraph" w:styleId="Contents3">
    <w:name w:val="TOC 3"/>
    <w:basedOn w:val="Normal"/>
    <w:next w:val="Normal"/>
    <w:pPr>
      <w:ind w:left="840" w:hanging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Header">
    <w:name w:val="Header"/>
    <w:basedOn w:val="Normal"/>
    <w:next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Contents1">
    <w:name w:val="TOC 1"/>
    <w:basedOn w:val="Normal"/>
    <w:next w:val="Normal"/>
    <w:pPr/>
    <w:rPr/>
  </w:style>
  <w:style w:type="paragraph" w:styleId="Contents2">
    <w:name w:val="TOC 2"/>
    <w:basedOn w:val="Normal"/>
    <w:next w:val="Normal"/>
    <w:pPr>
      <w:ind w:left="420" w:hanging="0"/>
    </w:pPr>
    <w:rPr/>
  </w:style>
  <w:style w:type="paragraph" w:styleId="WPSOffice1">
    <w:name w:val="WPSOffice手动目录 1"/>
    <w:qFormat/>
    <w:pPr>
      <w:widowControl/>
      <w:bidi w:val="0"/>
    </w:pPr>
    <w:rPr>
      <w:rFonts w:ascii="Times New Roman" w:hAnsi="Times New Roman" w:eastAsia="宋体;方正书宋_GBK" w:cs="Times New Roman"/>
      <w:color w:val="auto"/>
      <w:sz w:val="20"/>
      <w:szCs w:val="20"/>
      <w:lang w:val="en-US" w:eastAsia="zh-CN" w:bidi="hi-IN"/>
    </w:rPr>
  </w:style>
  <w:style w:type="paragraph" w:styleId="NewNewNew">
    <w:name w:val="正文 New New New"/>
    <w:next w:val="11"/>
    <w:qFormat/>
    <w:pPr>
      <w:widowControl w:val="false"/>
      <w:bidi w:val="0"/>
      <w:jc w:val="both"/>
    </w:pPr>
    <w:rPr>
      <w:rFonts w:ascii="Times New Roman" w:hAnsi="Times New Roman" w:eastAsia="宋体;方正书宋_GBK" w:cs="黑体;方正黑体_GBK"/>
      <w:color w:val="auto"/>
      <w:kern w:val="2"/>
      <w:sz w:val="21"/>
      <w:szCs w:val="24"/>
      <w:lang w:val="en-US" w:eastAsia="zh-CN" w:bidi="ar-SA"/>
    </w:rPr>
  </w:style>
  <w:style w:type="paragraph" w:styleId="11">
    <w:name w:val="正文-公1"/>
    <w:basedOn w:val="NewNewNew"/>
    <w:next w:val="Header"/>
    <w:qFormat/>
    <w:pPr>
      <w:ind w:firstLine="200"/>
    </w:pPr>
    <w:rPr>
      <w:rFonts w:ascii="Times New Roman" w:hAnsi="Times New Roman" w:eastAsia="宋体;方正书宋_GBK" w:cs="Times New Roman"/>
    </w:rPr>
  </w:style>
  <w:style w:type="paragraph" w:styleId="WPSOffice2">
    <w:name w:val="WPSOffice手动目录 2"/>
    <w:qFormat/>
    <w:pPr>
      <w:widowControl/>
      <w:bidi w:val="0"/>
    </w:pPr>
    <w:rPr>
      <w:rFonts w:ascii="Times New Roman" w:hAnsi="Times New Roman" w:eastAsia="宋体;方正书宋_GBK" w:cs="Times New Roman"/>
      <w:color w:val="auto"/>
      <w:sz w:val="20"/>
      <w:szCs w:val="20"/>
      <w:lang w:val="en-US" w:eastAsia="zh-CN" w:bidi="hi-IN"/>
    </w:rPr>
  </w:style>
  <w:style w:type="paragraph" w:styleId="Style19">
    <w:name w:val="修订"/>
    <w:qFormat/>
    <w:pPr>
      <w:widowControl/>
      <w:bidi w:val="0"/>
    </w:pPr>
    <w:rPr>
      <w:rFonts w:ascii="Calibri;DejaVu Sans" w:hAnsi="Calibri;DejaVu Sans" w:eastAsia="宋体;方正书宋_GBK" w:cs="Calibri;DejaVu Sans"/>
      <w:color w:val="auto"/>
      <w:kern w:val="2"/>
      <w:sz w:val="21"/>
      <w:szCs w:val="24"/>
      <w:lang w:val="en-US" w:eastAsia="zh-CN" w:bidi="ar-SA"/>
    </w:rPr>
  </w:style>
  <w:style w:type="paragraph" w:styleId="WPSOffice3">
    <w:name w:val="WPSOffice手动目录 3"/>
    <w:qFormat/>
    <w:pPr>
      <w:widowControl/>
      <w:bidi w:val="0"/>
    </w:pPr>
    <w:rPr>
      <w:rFonts w:ascii="Times New Roman" w:hAnsi="Times New Roman" w:eastAsia="宋体;方正书宋_GBK" w:cs="Times New Roman"/>
      <w:color w:val="auto"/>
      <w:sz w:val="20"/>
      <w:szCs w:val="20"/>
      <w:lang w:val="en-US" w:eastAsia="zh-CN" w:bidi="hi-IN"/>
    </w:rPr>
  </w:style>
  <w:style w:type="paragraph" w:styleId="Tableofauthoritiesb05a5ea1c6cb4d1687d4359727b32308">
    <w:name w:val="table of authorities_b05a5ea1-c6cb-4d16-87d4-359727b32308"/>
    <w:basedOn w:val="Normal"/>
    <w:next w:val="Normal"/>
    <w:qFormat/>
    <w:pPr>
      <w:ind w:left="20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13920</TotalTime>
  <Application>LibreOffice/7.3.7.2$Linux_X86_64 LibreOffice_project/30$Build-2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2025-12-28T10:19:00Z</dcterms:created>
  <dc:creator>uos</dc:creator>
  <dc:description/>
  <dc:language>en-US</dc:language>
  <cp:lastModifiedBy>ysgz</cp:lastModifiedBy>
  <cp:lastPrinted>2026-06-13T10:53:00Z</cp:lastPrinted>
  <dcterms:modified xsi:type="dcterms:W3CDTF">2026-07-29T11:18:26Z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9CEC7973D47B4B9EA3547818D8F9A7C8_13</vt:lpwstr>
  </property>
  <property fmtid="{D5CDD505-2E9C-101B-9397-08002B2CF9AE}" pid="3" name="KSOProductBuildVer">
    <vt:lpwstr>2052-11.8.2.10422</vt:lpwstr>
  </property>
  <property fmtid="{D5CDD505-2E9C-101B-9397-08002B2CF9AE}" pid="4" name="KSOTemplateDocerSaveRecord">
    <vt:lpwstr>eyJoZGlkIjoiODBlMGUzOTg1NzVkZWY3MmYzMGU0MDE4ZjNlNTg5YzMiLCJ1c2VySWQiOiI2ODEyNzAxMDgifQ==</vt:lpwstr>
  </property>
</Properties>
</file>