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false"/>
        <w:keepLines w:val="false"/>
        <w:pageBreakBefore w:val="false"/>
        <w:widowControl/>
        <w:kinsoku w:val="true"/>
        <w:overflowPunct w:val="true"/>
        <w:autoSpaceDE w:val="true"/>
        <w:bidi w:val="0"/>
        <w:snapToGrid w:val="true"/>
        <w:spacing w:lineRule="exact" w:line="540"/>
        <w:jc w:val="both"/>
        <w:textAlignment w:val="auto"/>
        <w:rPr>
          <w:rFonts w:ascii="CESI仿宋-GB18030" w:hAnsi="CESI仿宋-GB18030" w:eastAsia="CESI仿宋-GB18030" w:cs="CESI仿宋-GB18030"/>
          <w:b w:val="false"/>
          <w:b w:val="false"/>
          <w:bCs w:val="false"/>
          <w:color w:val="000000"/>
          <w:spacing w:val="-34"/>
          <w:sz w:val="32"/>
          <w:szCs w:val="32"/>
          <w:lang w:val="en-US" w:eastAsia="zh-CN"/>
        </w:rPr>
      </w:pPr>
      <w:r>
        <w:rPr>
          <w:rFonts w:ascii="CESI仿宋-GB18030" w:hAnsi="CESI仿宋-GB18030" w:cs="CESI仿宋-GB18030" w:eastAsia="CESI仿宋-GB18030"/>
          <w:b w:val="false"/>
          <w:bCs w:val="false"/>
          <w:color w:val="000000"/>
          <w:spacing w:val="-34"/>
          <w:sz w:val="32"/>
          <w:szCs w:val="32"/>
          <w:lang w:eastAsia="zh-CN"/>
        </w:rPr>
        <w:t>附件</w:t>
      </w:r>
      <w:r>
        <w:rPr>
          <w:rFonts w:eastAsia="CESI仿宋-GB18030" w:cs="CESI仿宋-GB18030" w:ascii="CESI仿宋-GB18030" w:hAnsi="CESI仿宋-GB18030"/>
          <w:b w:val="false"/>
          <w:bCs w:val="false"/>
          <w:color w:val="000000"/>
          <w:spacing w:val="-34"/>
          <w:sz w:val="32"/>
          <w:szCs w:val="32"/>
          <w:lang w:val="en-US" w:eastAsia="zh-CN"/>
        </w:rPr>
        <w:t>1</w:t>
      </w:r>
    </w:p>
    <w:p>
      <w:pPr>
        <w:pStyle w:val="Normal"/>
        <w:keepNext w:val="false"/>
        <w:keepLines w:val="false"/>
        <w:pageBreakBefore w:val="false"/>
        <w:widowControl w:val="false"/>
        <w:kinsoku w:val="true"/>
        <w:overflowPunct w:val="true"/>
        <w:autoSpaceDE w:val="true"/>
        <w:bidi w:val="0"/>
        <w:snapToGrid w:val="true"/>
        <w:spacing w:lineRule="exact" w:line="500"/>
        <w:jc w:val="center"/>
        <w:textAlignment w:val="auto"/>
        <w:rPr>
          <w:color w:val="000000"/>
        </w:rPr>
      </w:pPr>
      <w:r>
        <w:rPr>
          <w:rFonts w:ascii="方正小标宋简体" w:hAnsi="方正小标宋简体" w:eastAsia="方正小标宋简体"/>
          <w:color w:val="000000"/>
          <w:spacing w:val="-34"/>
          <w:sz w:val="44"/>
          <w:szCs w:val="44"/>
          <w:lang w:eastAsia="zh-CN"/>
        </w:rPr>
        <w:t>宁夏回族</w:t>
      </w:r>
      <w:r>
        <w:rPr>
          <w:rFonts w:ascii="方正小标宋简体" w:hAnsi="方正小标宋简体" w:eastAsia="方正小标宋简体"/>
          <w:color w:val="000000"/>
          <w:spacing w:val="-34"/>
          <w:sz w:val="44"/>
          <w:szCs w:val="44"/>
        </w:rPr>
        <w:t>自治区药品监管领域轻微违法行为依法不予处罚</w:t>
      </w:r>
      <w:r>
        <w:rPr>
          <w:rFonts w:ascii="方正小标宋简体" w:hAnsi="方正小标宋简体" w:eastAsia="方正小标宋简体"/>
          <w:color w:val="000000"/>
          <w:spacing w:val="-34"/>
          <w:sz w:val="44"/>
          <w:szCs w:val="44"/>
          <w:lang w:eastAsia="zh-CN"/>
        </w:rPr>
        <w:t>事项</w:t>
      </w:r>
      <w:r>
        <w:rPr>
          <w:rFonts w:ascii="方正小标宋简体" w:hAnsi="方正小标宋简体" w:eastAsia="方正小标宋简体"/>
          <w:color w:val="000000"/>
          <w:spacing w:val="-34"/>
          <w:sz w:val="44"/>
          <w:szCs w:val="44"/>
        </w:rPr>
        <w:t>清单</w:t>
      </w:r>
      <w:r>
        <w:rPr>
          <w:rFonts w:ascii="方正小标宋简体" w:hAnsi="方正小标宋简体" w:eastAsia="方正小标宋简体"/>
          <w:color w:val="000000"/>
          <w:spacing w:val="-34"/>
          <w:sz w:val="44"/>
          <w:szCs w:val="44"/>
          <w:lang w:eastAsia="zh-CN"/>
        </w:rPr>
        <w:t>（</w:t>
      </w:r>
      <w:r>
        <w:rPr>
          <w:rFonts w:eastAsia="方正小标宋简体" w:ascii="方正小标宋简体" w:hAnsi="方正小标宋简体"/>
          <w:color w:val="000000"/>
          <w:spacing w:val="-34"/>
          <w:sz w:val="44"/>
          <w:szCs w:val="44"/>
          <w:lang w:val="en-US" w:eastAsia="zh-CN"/>
        </w:rPr>
        <w:t>2026</w:t>
      </w:r>
      <w:r>
        <w:rPr>
          <w:rFonts w:ascii="方正小标宋简体" w:hAnsi="方正小标宋简体" w:eastAsia="方正小标宋简体"/>
          <w:color w:val="000000"/>
          <w:spacing w:val="-34"/>
          <w:sz w:val="44"/>
          <w:szCs w:val="44"/>
          <w:lang w:val="en-US" w:eastAsia="zh-CN"/>
        </w:rPr>
        <w:t>版</w:t>
      </w:r>
      <w:r>
        <w:rPr>
          <w:rFonts w:ascii="方正小标宋简体" w:hAnsi="方正小标宋简体" w:eastAsia="方正小标宋简体"/>
          <w:color w:val="000000"/>
          <w:spacing w:val="-34"/>
          <w:sz w:val="44"/>
          <w:szCs w:val="44"/>
          <w:lang w:eastAsia="zh-CN"/>
        </w:rPr>
        <w:t>）</w:t>
      </w:r>
    </w:p>
    <w:tbl>
      <w:tblPr>
        <w:tblW w:w="4950" w:type="pct"/>
        <w:jc w:val="center"/>
        <w:tblInd w:w="0" w:type="dxa"/>
        <w:tblLayout w:type="fixed"/>
        <w:tblCellMar>
          <w:top w:w="0" w:type="dxa"/>
          <w:left w:w="108" w:type="dxa"/>
          <w:bottom w:w="0" w:type="dxa"/>
          <w:right w:w="108" w:type="dxa"/>
        </w:tblCellMar>
      </w:tblPr>
      <w:tblGrid>
        <w:gridCol w:w="878"/>
        <w:gridCol w:w="713"/>
        <w:gridCol w:w="2550"/>
        <w:gridCol w:w="4403"/>
        <w:gridCol w:w="3250"/>
        <w:gridCol w:w="2024"/>
      </w:tblGrid>
      <w:tr>
        <w:trPr>
          <w:tblHeader w:val="true"/>
          <w:trHeight w:val="584"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400"/>
              <w:jc w:val="center"/>
              <w:rPr>
                <w:rFonts w:ascii="仿宋_GB2312" w:hAnsi="仿宋_GB2312" w:eastAsia="仿宋_GB2312" w:cs="仿宋_GB2312"/>
                <w:b/>
                <w:b/>
                <w:bCs/>
                <w:color w:val="000000"/>
                <w:sz w:val="24"/>
                <w:szCs w:val="24"/>
                <w:lang w:eastAsia="zh-CN"/>
              </w:rPr>
            </w:pPr>
            <w:r>
              <w:rPr>
                <w:rFonts w:ascii="仿宋_GB2312" w:hAnsi="仿宋_GB2312" w:cs="仿宋_GB2312" w:eastAsia="仿宋_GB2312"/>
                <w:b/>
                <w:bCs/>
                <w:color w:val="000000"/>
                <w:sz w:val="24"/>
                <w:szCs w:val="24"/>
                <w:lang w:eastAsia="zh-CN"/>
              </w:rPr>
              <w:t>序号</w:t>
            </w:r>
          </w:p>
        </w:tc>
        <w:tc>
          <w:tcPr>
            <w:tcW w:w="71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400"/>
              <w:jc w:val="center"/>
              <w:rPr>
                <w:rFonts w:ascii="仿宋_GB2312" w:hAnsi="仿宋_GB2312" w:eastAsia="仿宋_GB2312" w:cs="仿宋_GB2312"/>
                <w:b/>
                <w:b/>
                <w:bCs/>
                <w:color w:val="000000"/>
                <w:sz w:val="24"/>
                <w:szCs w:val="24"/>
                <w:lang w:eastAsia="zh-CN"/>
              </w:rPr>
            </w:pPr>
            <w:r>
              <w:rPr>
                <w:rFonts w:ascii="仿宋_GB2312" w:hAnsi="仿宋_GB2312" w:cs="仿宋_GB2312" w:eastAsia="仿宋_GB2312"/>
                <w:b/>
                <w:bCs/>
                <w:color w:val="000000"/>
                <w:sz w:val="24"/>
                <w:szCs w:val="24"/>
                <w:lang w:eastAsia="zh-CN"/>
              </w:rPr>
              <w:t>不予处罚情形</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400"/>
              <w:jc w:val="center"/>
              <w:rPr>
                <w:rFonts w:ascii="仿宋_GB2312" w:hAnsi="仿宋_GB2312" w:eastAsia="仿宋_GB2312" w:cs="仿宋_GB2312"/>
                <w:b/>
                <w:b/>
                <w:bCs/>
                <w:color w:val="000000"/>
                <w:sz w:val="24"/>
                <w:szCs w:val="24"/>
              </w:rPr>
            </w:pPr>
            <w:r>
              <w:rPr>
                <w:rFonts w:ascii="仿宋_GB2312" w:hAnsi="仿宋_GB2312" w:cs="仿宋_GB2312" w:eastAsia="仿宋_GB2312"/>
                <w:b/>
                <w:bCs/>
                <w:color w:val="000000"/>
                <w:sz w:val="24"/>
                <w:szCs w:val="24"/>
                <w:lang w:eastAsia="zh-CN"/>
              </w:rPr>
              <w:t>违法</w:t>
            </w:r>
            <w:r>
              <w:rPr>
                <w:rFonts w:ascii="仿宋_GB2312" w:hAnsi="仿宋_GB2312" w:cs="仿宋_GB2312" w:eastAsia="仿宋_GB2312"/>
                <w:b/>
                <w:bCs/>
                <w:color w:val="000000"/>
                <w:sz w:val="24"/>
                <w:szCs w:val="24"/>
              </w:rPr>
              <w:t>事项</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400"/>
              <w:jc w:val="center"/>
              <w:rPr>
                <w:rFonts w:ascii="仿宋_GB2312" w:hAnsi="仿宋_GB2312" w:eastAsia="仿宋_GB2312" w:cs="仿宋_GB2312"/>
                <w:b/>
                <w:b/>
                <w:bCs/>
                <w:color w:val="000000"/>
                <w:sz w:val="24"/>
                <w:szCs w:val="24"/>
                <w:lang w:eastAsia="zh-CN"/>
              </w:rPr>
            </w:pPr>
            <w:r>
              <w:rPr>
                <w:rFonts w:ascii="仿宋_GB2312" w:hAnsi="仿宋_GB2312" w:cs="仿宋_GB2312" w:eastAsia="仿宋_GB2312"/>
                <w:b/>
                <w:bCs/>
                <w:color w:val="000000"/>
                <w:sz w:val="24"/>
                <w:szCs w:val="24"/>
                <w:lang w:eastAsia="zh-CN"/>
              </w:rPr>
              <w:t>法定</w:t>
            </w:r>
            <w:r>
              <w:rPr>
                <w:rFonts w:ascii="仿宋_GB2312" w:hAnsi="仿宋_GB2312" w:cs="仿宋_GB2312" w:eastAsia="仿宋_GB2312"/>
                <w:b/>
                <w:bCs/>
                <w:color w:val="000000"/>
                <w:sz w:val="24"/>
                <w:szCs w:val="24"/>
              </w:rPr>
              <w:t>依据</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400"/>
              <w:jc w:val="center"/>
              <w:rPr>
                <w:rFonts w:ascii="仿宋_GB2312" w:hAnsi="仿宋_GB2312" w:eastAsia="仿宋_GB2312" w:cs="仿宋_GB2312"/>
                <w:b/>
                <w:b/>
                <w:bCs/>
                <w:color w:val="000000"/>
                <w:sz w:val="24"/>
                <w:szCs w:val="24"/>
              </w:rPr>
            </w:pPr>
            <w:r>
              <w:rPr>
                <w:rFonts w:ascii="仿宋_GB2312" w:hAnsi="仿宋_GB2312" w:cs="仿宋_GB2312" w:eastAsia="仿宋_GB2312"/>
                <w:b/>
                <w:bCs/>
                <w:color w:val="000000"/>
                <w:sz w:val="24"/>
                <w:szCs w:val="24"/>
              </w:rPr>
              <w:t>不予处罚适用条件</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400"/>
              <w:jc w:val="center"/>
              <w:rPr>
                <w:rFonts w:ascii="仿宋_GB2312" w:hAnsi="仿宋_GB2312" w:eastAsia="仿宋_GB2312" w:cs="仿宋_GB2312"/>
                <w:b/>
                <w:b/>
                <w:bCs/>
                <w:color w:val="000000"/>
                <w:sz w:val="24"/>
                <w:szCs w:val="24"/>
              </w:rPr>
            </w:pPr>
            <w:r>
              <w:rPr>
                <w:rFonts w:ascii="仿宋_GB2312" w:hAnsi="仿宋_GB2312" w:cs="仿宋_GB2312" w:eastAsia="仿宋_GB2312"/>
                <w:b/>
                <w:bCs/>
                <w:color w:val="000000"/>
                <w:sz w:val="24"/>
                <w:szCs w:val="24"/>
                <w:lang w:eastAsia="zh-CN"/>
              </w:rPr>
              <w:t>监管措施</w:t>
            </w:r>
          </w:p>
        </w:tc>
      </w:tr>
      <w:tr>
        <w:trPr>
          <w:trHeight w:val="1201"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p>
        </w:tc>
        <w:tc>
          <w:tcPr>
            <w:tcW w:w="7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eastAsia="zh-CN"/>
              </w:rPr>
            </w:pPr>
            <w:r>
              <w:rPr>
                <w:rFonts w:ascii="仿宋_GB2312" w:hAnsi="仿宋_GB2312" w:cs="仿宋_GB2312" w:eastAsia="仿宋_GB2312"/>
                <w:color w:val="000000"/>
                <w:sz w:val="24"/>
                <w:szCs w:val="24"/>
                <w:lang w:eastAsia="zh-CN"/>
              </w:rPr>
              <w:t>轻微不罚</w:t>
            </w:r>
          </w:p>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eastAsia="zh-CN"/>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spacing w:lineRule="exact" w:line="260"/>
              <w:jc w:val="left"/>
              <w:textAlignment w:val="center"/>
              <w:rPr>
                <w:rFonts w:ascii="仿宋_GB2312" w:hAnsi="仿宋_GB2312" w:eastAsia="仿宋_GB2312" w:cs="仿宋_GB2312"/>
                <w:color w:val="000000"/>
                <w:kern w:val="2"/>
                <w:position w:val="0"/>
                <w:sz w:val="24"/>
                <w:sz w:val="24"/>
                <w:szCs w:val="24"/>
                <w:vertAlign w:val="baseline"/>
                <w:lang w:val="en-US" w:eastAsia="zh-CN" w:bidi="ar-SA"/>
              </w:rPr>
            </w:pPr>
            <w:r>
              <w:rPr>
                <w:rFonts w:ascii="仿宋_GB2312" w:hAnsi="仿宋_GB2312" w:cs="仿宋_GB2312" w:eastAsia="仿宋_GB2312"/>
                <w:i w:val="false"/>
                <w:color w:val="000000"/>
                <w:kern w:val="0"/>
                <w:sz w:val="24"/>
                <w:szCs w:val="24"/>
                <w:u w:val="none"/>
                <w:lang w:val="en-US" w:eastAsia="zh-CN" w:bidi="ar"/>
              </w:rPr>
              <w:t>未经批准进口少量境外已合法上市的药品</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1.</w:t>
            </w:r>
            <w:r>
              <w:rPr>
                <w:rFonts w:ascii="仿宋_GB2312" w:hAnsi="仿宋_GB2312" w:cs="仿宋_GB2312" w:eastAsia="仿宋_GB2312"/>
                <w:i w:val="false"/>
                <w:color w:val="000000"/>
                <w:kern w:val="0"/>
                <w:sz w:val="24"/>
                <w:szCs w:val="24"/>
                <w:u w:val="none"/>
                <w:lang w:val="en-US" w:eastAsia="zh-CN" w:bidi="ar"/>
              </w:rPr>
              <w:t>《中华人民共和国药品管理法》第一百二十四条第三款：未经批准进口少量境外已合法上市的药品，情节较轻的，可以依法减轻或者免予处罚。</w:t>
            </w:r>
          </w:p>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《中华人民共和国行政处罚法》第三十三条第一款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1.</w:t>
            </w:r>
            <w:r>
              <w:rPr>
                <w:rFonts w:ascii="仿宋_GB2312" w:hAnsi="仿宋_GB2312" w:cs="仿宋_GB2312" w:eastAsia="仿宋_GB2312"/>
                <w:i w:val="false"/>
                <w:color w:val="000000"/>
                <w:kern w:val="0"/>
                <w:sz w:val="24"/>
                <w:szCs w:val="24"/>
                <w:u w:val="none"/>
                <w:lang w:val="en-US" w:eastAsia="zh-CN" w:bidi="ar"/>
              </w:rPr>
              <w:t>进口药品货值金额较小或者数量较少；</w:t>
            </w:r>
          </w:p>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2.</w:t>
            </w:r>
            <w:r>
              <w:rPr>
                <w:rFonts w:ascii="仿宋_GB2312" w:hAnsi="仿宋_GB2312" w:cs="仿宋_GB2312" w:eastAsia="仿宋_GB2312"/>
                <w:i w:val="false"/>
                <w:color w:val="000000"/>
                <w:kern w:val="0"/>
                <w:sz w:val="24"/>
                <w:szCs w:val="24"/>
                <w:u w:val="none"/>
                <w:lang w:val="en-US" w:eastAsia="zh-CN" w:bidi="ar"/>
              </w:rPr>
              <w:t>不具有商业目的；</w:t>
            </w:r>
          </w:p>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3.</w:t>
            </w:r>
            <w:r>
              <w:rPr>
                <w:rFonts w:ascii="仿宋_GB2312" w:hAnsi="仿宋_GB2312" w:cs="仿宋_GB2312" w:eastAsia="仿宋_GB2312"/>
                <w:i w:val="false"/>
                <w:color w:val="000000"/>
                <w:kern w:val="0"/>
                <w:sz w:val="24"/>
                <w:szCs w:val="24"/>
                <w:u w:val="none"/>
                <w:lang w:val="en-US" w:eastAsia="zh-CN" w:bidi="ar"/>
              </w:rPr>
              <w:t>药品可追溯；</w:t>
            </w:r>
          </w:p>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4.</w:t>
            </w:r>
            <w:r>
              <w:rPr>
                <w:rFonts w:ascii="仿宋_GB2312" w:hAnsi="仿宋_GB2312" w:cs="仿宋_GB2312" w:eastAsia="仿宋_GB2312"/>
                <w:color w:val="000000"/>
                <w:sz w:val="24"/>
                <w:szCs w:val="24"/>
                <w:lang w:val="en-US" w:eastAsia="zh-CN"/>
              </w:rPr>
              <w:t>违法行为轻微并及</w:t>
            </w:r>
            <w:r>
              <w:rPr>
                <w:rFonts w:ascii="仿宋_GB2312" w:hAnsi="仿宋_GB2312" w:cs="仿宋_GB2312" w:eastAsia="仿宋_GB2312"/>
                <w:color w:val="000000"/>
                <w:sz w:val="24"/>
                <w:szCs w:val="24"/>
              </w:rPr>
              <w:t>时</w:t>
            </w:r>
            <w:r>
              <w:rPr>
                <w:rFonts w:ascii="仿宋_GB2312" w:hAnsi="仿宋_GB2312" w:cs="仿宋_GB2312" w:eastAsia="仿宋_GB2312"/>
                <w:color w:val="000000"/>
                <w:sz w:val="24"/>
                <w:szCs w:val="24"/>
                <w:lang w:eastAsia="zh-CN"/>
              </w:rPr>
              <w:t>纠正；</w:t>
            </w:r>
            <w:r>
              <w:rPr>
                <w:rFonts w:eastAsia="仿宋_GB2312" w:cs="仿宋_GB2312" w:ascii="仿宋_GB2312" w:hAnsi="仿宋_GB2312"/>
                <w:color w:val="000000"/>
                <w:sz w:val="24"/>
                <w:szCs w:val="24"/>
                <w:lang w:val="en-US" w:eastAsia="zh-CN"/>
              </w:rPr>
              <w:t>5.</w:t>
            </w:r>
            <w:r>
              <w:rPr>
                <w:rFonts w:ascii="仿宋_GB2312" w:hAnsi="仿宋_GB2312" w:cs="仿宋_GB2312" w:eastAsia="仿宋_GB2312"/>
                <w:i w:val="false"/>
                <w:color w:val="000000"/>
                <w:kern w:val="0"/>
                <w:sz w:val="24"/>
                <w:szCs w:val="24"/>
                <w:u w:val="none"/>
                <w:lang w:val="en-US" w:eastAsia="zh-CN" w:bidi="ar"/>
              </w:rPr>
              <w:t>没有造成危害后果。</w:t>
            </w:r>
          </w:p>
        </w:tc>
        <w:tc>
          <w:tcPr>
            <w:tcW w:w="202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lang w:val="en-US" w:eastAsia="zh-CN"/>
              </w:rPr>
              <w:t>拒不改正的，依法处罚。</w:t>
            </w:r>
          </w:p>
        </w:tc>
      </w:tr>
      <w:tr>
        <w:trPr>
          <w:trHeight w:val="1201"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2</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spacing w:lineRule="exact" w:line="26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ascii="仿宋_GB2312" w:hAnsi="仿宋_GB2312" w:cs="仿宋_GB2312" w:eastAsia="仿宋_GB2312"/>
                <w:i w:val="false"/>
                <w:color w:val="000000"/>
                <w:kern w:val="0"/>
                <w:sz w:val="24"/>
                <w:szCs w:val="24"/>
                <w:u w:val="none"/>
                <w:lang w:val="en-US" w:eastAsia="zh-CN" w:bidi="ar"/>
              </w:rPr>
              <w:t>药品经营企业购销药品未按照规定进行记录</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spacing w:lineRule="exact" w:line="26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1.</w:t>
            </w:r>
            <w:r>
              <w:rPr>
                <w:rFonts w:ascii="仿宋_GB2312" w:hAnsi="仿宋_GB2312" w:cs="仿宋_GB2312" w:eastAsia="仿宋_GB2312"/>
                <w:i w:val="false"/>
                <w:color w:val="000000"/>
                <w:kern w:val="0"/>
                <w:sz w:val="24"/>
                <w:szCs w:val="24"/>
                <w:u w:val="none"/>
                <w:lang w:val="en-US" w:eastAsia="zh-CN" w:bidi="ar"/>
              </w:rPr>
              <w:t>《中华人民共和国药品管理法》第一百三十条：违反本法规定，药品经营企业购销药品未按照规定进行记录，</w:t>
            </w:r>
            <w:r>
              <w:rPr>
                <w:rFonts w:ascii="仿宋_GB2312" w:hAnsi="仿宋_GB2312" w:cs="仿宋_GB2312" w:eastAsia="仿宋_GB2312"/>
                <w:b w:val="false"/>
                <w:bCs w:val="false"/>
                <w:i w:val="false"/>
                <w:color w:val="000000"/>
                <w:kern w:val="0"/>
                <w:sz w:val="24"/>
                <w:szCs w:val="24"/>
                <w:u w:val="none"/>
                <w:lang w:val="en-US" w:eastAsia="zh-CN" w:bidi="ar"/>
              </w:rPr>
              <w:t>零售药品未正确说明用法、用量等事项，或者未按照规定调配处方的，责</w:t>
            </w:r>
            <w:r>
              <w:rPr>
                <w:rFonts w:ascii="仿宋_GB2312" w:hAnsi="仿宋_GB2312" w:cs="仿宋_GB2312" w:eastAsia="仿宋_GB2312"/>
                <w:i w:val="false"/>
                <w:color w:val="000000"/>
                <w:kern w:val="0"/>
                <w:sz w:val="24"/>
                <w:szCs w:val="24"/>
                <w:u w:val="none"/>
                <w:lang w:val="en-US" w:eastAsia="zh-CN" w:bidi="ar"/>
              </w:rPr>
              <w:t>令改正，给予警告；情节严重的，吊销药品经营许可证。</w:t>
            </w:r>
          </w:p>
          <w:p>
            <w:pPr>
              <w:pStyle w:val="Normal"/>
              <w:keepNext w:val="false"/>
              <w:keepLines w:val="false"/>
              <w:widowControl/>
              <w:spacing w:lineRule="exact" w:line="26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《中华人民共和国行政处罚法》第三十三条第一款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1.</w:t>
            </w:r>
            <w:r>
              <w:rPr>
                <w:rFonts w:ascii="仿宋_GB2312" w:hAnsi="仿宋_GB2312" w:cs="仿宋_GB2312" w:eastAsia="仿宋_GB2312"/>
                <w:i w:val="false"/>
                <w:color w:val="000000"/>
                <w:kern w:val="0"/>
                <w:sz w:val="24"/>
                <w:szCs w:val="24"/>
                <w:u w:val="none"/>
                <w:lang w:val="en-US" w:eastAsia="zh-CN" w:bidi="ar"/>
              </w:rPr>
              <w:t>不影响药品追溯；</w:t>
            </w:r>
          </w:p>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2.</w:t>
            </w:r>
            <w:r>
              <w:rPr>
                <w:rFonts w:ascii="仿宋_GB2312" w:hAnsi="仿宋_GB2312" w:cs="仿宋_GB2312" w:eastAsia="仿宋_GB2312"/>
                <w:i w:val="false"/>
                <w:color w:val="000000"/>
                <w:kern w:val="0"/>
                <w:sz w:val="24"/>
                <w:szCs w:val="24"/>
                <w:u w:val="none"/>
                <w:lang w:val="en-US" w:eastAsia="zh-CN" w:bidi="ar"/>
              </w:rPr>
              <w:t>不涉及对药品购销登记有特殊要求的药品；</w:t>
            </w:r>
          </w:p>
          <w:p>
            <w:pPr>
              <w:pStyle w:val="Normal"/>
              <w:keepNext w:val="false"/>
              <w:keepLines w:val="false"/>
              <w:widowControl/>
              <w:spacing w:lineRule="exact" w:line="26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3.</w:t>
            </w:r>
            <w:r>
              <w:rPr>
                <w:rFonts w:ascii="仿宋_GB2312" w:hAnsi="仿宋_GB2312" w:cs="仿宋_GB2312" w:eastAsia="仿宋_GB2312"/>
                <w:color w:val="000000"/>
                <w:sz w:val="24"/>
                <w:szCs w:val="24"/>
                <w:lang w:val="en-US" w:eastAsia="zh-CN"/>
              </w:rPr>
              <w:t>违法行为轻微并及</w:t>
            </w:r>
            <w:r>
              <w:rPr>
                <w:rFonts w:ascii="仿宋_GB2312" w:hAnsi="仿宋_GB2312" w:cs="仿宋_GB2312" w:eastAsia="仿宋_GB2312"/>
                <w:color w:val="000000"/>
                <w:sz w:val="24"/>
                <w:szCs w:val="24"/>
              </w:rPr>
              <w:t>时</w:t>
            </w:r>
            <w:r>
              <w:rPr>
                <w:rFonts w:ascii="仿宋_GB2312" w:hAnsi="仿宋_GB2312" w:cs="仿宋_GB2312" w:eastAsia="仿宋_GB2312"/>
                <w:color w:val="000000"/>
                <w:sz w:val="24"/>
                <w:szCs w:val="24"/>
                <w:lang w:eastAsia="zh-CN"/>
              </w:rPr>
              <w:t>纠正；</w:t>
            </w:r>
            <w:r>
              <w:rPr>
                <w:rFonts w:eastAsia="仿宋_GB2312" w:cs="仿宋_GB2312" w:ascii="仿宋_GB2312" w:hAnsi="仿宋_GB2312"/>
                <w:color w:val="000000"/>
                <w:sz w:val="24"/>
                <w:szCs w:val="24"/>
                <w:lang w:val="en-US" w:eastAsia="zh-CN"/>
              </w:rPr>
              <w:t>4.</w:t>
            </w:r>
            <w:r>
              <w:rPr>
                <w:rFonts w:ascii="仿宋_GB2312" w:hAnsi="仿宋_GB2312" w:cs="仿宋_GB2312" w:eastAsia="仿宋_GB2312"/>
                <w:i w:val="false"/>
                <w:color w:val="000000"/>
                <w:kern w:val="0"/>
                <w:sz w:val="24"/>
                <w:szCs w:val="24"/>
                <w:u w:val="none"/>
                <w:lang w:val="en-US" w:eastAsia="zh-CN" w:bidi="ar"/>
              </w:rPr>
              <w:t>没有造成用药安全危害后果。</w:t>
            </w:r>
          </w:p>
        </w:tc>
        <w:tc>
          <w:tcPr>
            <w:tcW w:w="202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r>
              <w:rPr>
                <w:rFonts w:eastAsia="仿宋_GB2312" w:cs="仿宋_GB2312" w:ascii="仿宋_GB2312" w:hAnsi="仿宋_GB2312"/>
                <w:color w:val="000000"/>
                <w:sz w:val="24"/>
                <w:szCs w:val="24"/>
                <w:lang w:val="en-US" w:eastAsia="zh-CN"/>
              </w:rPr>
              <w:br/>
              <w:t>2.</w:t>
            </w:r>
            <w:r>
              <w:rPr>
                <w:rFonts w:ascii="仿宋_GB2312" w:hAnsi="仿宋_GB2312" w:cs="仿宋_GB2312" w:eastAsia="仿宋_GB2312"/>
                <w:color w:val="000000"/>
                <w:sz w:val="24"/>
                <w:szCs w:val="24"/>
                <w:lang w:val="en-US" w:eastAsia="zh-CN"/>
              </w:rPr>
              <w:t>拒不改正的，依法处罚。</w:t>
            </w:r>
          </w:p>
        </w:tc>
      </w:tr>
      <w:tr>
        <w:trPr>
          <w:trHeight w:val="3191"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3</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spacing w:lineRule="exact" w:line="260"/>
              <w:jc w:val="left"/>
              <w:textAlignment w:val="center"/>
              <w:rPr>
                <w:rFonts w:ascii="仿宋_GB2312" w:hAnsi="仿宋_GB2312" w:eastAsia="仿宋_GB2312" w:cs="仿宋_GB2312"/>
                <w:color w:val="000000"/>
                <w:kern w:val="2"/>
                <w:position w:val="0"/>
                <w:sz w:val="24"/>
                <w:sz w:val="24"/>
                <w:szCs w:val="24"/>
                <w:vertAlign w:val="baseline"/>
                <w:lang w:val="en-US" w:eastAsia="zh-CN" w:bidi="ar-SA"/>
              </w:rPr>
            </w:pPr>
            <w:r>
              <w:rPr>
                <w:rFonts w:ascii="仿宋_GB2312" w:hAnsi="仿宋_GB2312" w:cs="仿宋_GB2312" w:eastAsia="仿宋_GB2312"/>
                <w:i w:val="false"/>
                <w:color w:val="000000"/>
                <w:kern w:val="0"/>
                <w:sz w:val="24"/>
                <w:szCs w:val="24"/>
                <w:u w:val="none"/>
                <w:lang w:val="en-US" w:eastAsia="zh-CN" w:bidi="ar"/>
              </w:rPr>
              <w:t>药品标签、说明书未按照规定注明相关信息或者印有规定标志</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numPr>
                <w:ilvl w:val="0"/>
                <w:numId w:val="1"/>
              </w:numPr>
              <w:tabs>
                <w:tab w:val="clear" w:pos="420"/>
                <w:tab w:val="left" w:pos="312" w:leader="none"/>
              </w:tabs>
              <w:spacing w:lineRule="exact" w:line="260"/>
              <w:ind w:left="0" w:hanging="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ascii="仿宋_GB2312" w:hAnsi="仿宋_GB2312" w:cs="仿宋_GB2312" w:eastAsia="仿宋_GB2312"/>
                <w:i w:val="false"/>
                <w:color w:val="000000"/>
                <w:kern w:val="0"/>
                <w:sz w:val="24"/>
                <w:szCs w:val="24"/>
                <w:u w:val="none"/>
                <w:lang w:val="en-US" w:eastAsia="zh-CN" w:bidi="ar"/>
              </w:rPr>
              <w:t>《中华人民共和国药品管理法》第一百二十八条：除依法应当按照假药、劣药处罚的外，药品包装未按照规定印有、贴有标签或者附有说明书，标签、说明书未按照规定注明相关信息或者印有规定标志的，责令改正，给予警告；情节严重的，吊销药品注册证书。</w:t>
            </w:r>
          </w:p>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color w:val="000000"/>
                <w:kern w:val="2"/>
                <w:position w:val="0"/>
                <w:sz w:val="24"/>
                <w:sz w:val="24"/>
                <w:szCs w:val="24"/>
                <w:vertAlign w:val="baseline"/>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《中华人民共和国行政处罚法》第三十三条第一款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1.</w:t>
            </w:r>
            <w:r>
              <w:rPr>
                <w:rFonts w:ascii="仿宋_GB2312" w:hAnsi="仿宋_GB2312" w:cs="仿宋_GB2312" w:eastAsia="仿宋_GB2312"/>
                <w:i w:val="false"/>
                <w:color w:val="000000"/>
                <w:kern w:val="0"/>
                <w:sz w:val="24"/>
                <w:szCs w:val="24"/>
                <w:u w:val="none"/>
                <w:lang w:val="en-US" w:eastAsia="zh-CN" w:bidi="ar"/>
              </w:rPr>
              <w:t>涉案药品不涉及假、劣药；</w:t>
            </w:r>
          </w:p>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2.</w:t>
            </w:r>
            <w:r>
              <w:rPr>
                <w:rFonts w:ascii="仿宋_GB2312" w:hAnsi="仿宋_GB2312" w:cs="仿宋_GB2312" w:eastAsia="仿宋_GB2312"/>
                <w:i w:val="false"/>
                <w:color w:val="000000"/>
                <w:kern w:val="0"/>
                <w:sz w:val="24"/>
                <w:szCs w:val="24"/>
                <w:u w:val="none"/>
                <w:lang w:val="en-US" w:eastAsia="zh-CN" w:bidi="ar"/>
              </w:rPr>
              <w:t>说明书，标签不会对消费者造成误导，不影响用药安全有效；</w:t>
            </w:r>
          </w:p>
          <w:p>
            <w:pPr>
              <w:pStyle w:val="Normal"/>
              <w:keepNext w:val="false"/>
              <w:keepLines w:val="false"/>
              <w:widowControl/>
              <w:numPr>
                <w:ilvl w:val="0"/>
                <w:numId w:val="0"/>
              </w:numPr>
              <w:spacing w:lineRule="exact" w:line="260"/>
              <w:ind w:left="0" w:hanging="0"/>
              <w:jc w:val="left"/>
              <w:textAlignment w:val="center"/>
              <w:rPr>
                <w:rFonts w:ascii="仿宋_GB2312" w:hAnsi="仿宋_GB2312" w:eastAsia="仿宋_GB2312" w:cs="仿宋_GB2312"/>
                <w:color w:val="000000"/>
                <w:kern w:val="2"/>
                <w:position w:val="0"/>
                <w:sz w:val="24"/>
                <w:sz w:val="24"/>
                <w:szCs w:val="24"/>
                <w:vertAlign w:val="baseline"/>
                <w:lang w:val="en-US" w:eastAsia="zh-CN" w:bidi="ar-SA"/>
              </w:rPr>
            </w:pPr>
            <w:r>
              <w:rPr>
                <w:rFonts w:eastAsia="仿宋_GB2312" w:cs="仿宋_GB2312" w:ascii="仿宋_GB2312" w:hAnsi="仿宋_GB2312"/>
                <w:i w:val="false"/>
                <w:color w:val="000000"/>
                <w:kern w:val="0"/>
                <w:sz w:val="24"/>
                <w:szCs w:val="24"/>
                <w:u w:val="none"/>
                <w:lang w:val="en-US" w:eastAsia="zh-CN" w:bidi="ar"/>
              </w:rPr>
              <w:t>3.</w:t>
            </w:r>
            <w:r>
              <w:rPr>
                <w:rFonts w:ascii="仿宋_GB2312" w:hAnsi="仿宋_GB2312" w:cs="仿宋_GB2312" w:eastAsia="仿宋_GB2312"/>
                <w:color w:val="000000"/>
                <w:sz w:val="24"/>
                <w:szCs w:val="24"/>
                <w:lang w:val="en-US" w:eastAsia="zh-CN"/>
              </w:rPr>
              <w:t>违法行为轻微并及</w:t>
            </w:r>
            <w:r>
              <w:rPr>
                <w:rFonts w:ascii="仿宋_GB2312" w:hAnsi="仿宋_GB2312" w:cs="仿宋_GB2312" w:eastAsia="仿宋_GB2312"/>
                <w:color w:val="000000"/>
                <w:sz w:val="24"/>
                <w:szCs w:val="24"/>
              </w:rPr>
              <w:t>时</w:t>
            </w:r>
            <w:r>
              <w:rPr>
                <w:rFonts w:ascii="仿宋_GB2312" w:hAnsi="仿宋_GB2312" w:cs="仿宋_GB2312" w:eastAsia="仿宋_GB2312"/>
                <w:color w:val="000000"/>
                <w:sz w:val="24"/>
                <w:szCs w:val="24"/>
                <w:lang w:eastAsia="zh-CN"/>
              </w:rPr>
              <w:t>纠正；</w:t>
            </w:r>
            <w:r>
              <w:rPr>
                <w:rFonts w:eastAsia="仿宋_GB2312" w:cs="仿宋_GB2312" w:ascii="仿宋_GB2312" w:hAnsi="仿宋_GB2312"/>
                <w:color w:val="000000"/>
                <w:sz w:val="24"/>
                <w:szCs w:val="24"/>
                <w:lang w:val="en-US" w:eastAsia="zh-CN"/>
              </w:rPr>
              <w:t>4.</w:t>
            </w:r>
            <w:r>
              <w:rPr>
                <w:rFonts w:ascii="仿宋_GB2312" w:hAnsi="仿宋_GB2312" w:cs="仿宋_GB2312" w:eastAsia="仿宋_GB2312"/>
                <w:i w:val="false"/>
                <w:color w:val="000000"/>
                <w:kern w:val="0"/>
                <w:sz w:val="24"/>
                <w:szCs w:val="24"/>
                <w:u w:val="none"/>
                <w:lang w:val="en-US" w:eastAsia="zh-CN" w:bidi="ar"/>
              </w:rPr>
              <w:t>没有造成危害后果。</w:t>
            </w:r>
          </w:p>
        </w:tc>
        <w:tc>
          <w:tcPr>
            <w:tcW w:w="202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r>
              <w:rPr>
                <w:rFonts w:eastAsia="仿宋_GB2312" w:cs="仿宋_GB2312" w:ascii="仿宋_GB2312" w:hAnsi="仿宋_GB2312"/>
                <w:color w:val="000000"/>
                <w:sz w:val="24"/>
                <w:szCs w:val="24"/>
                <w:lang w:val="en-US" w:eastAsia="zh-CN"/>
              </w:rPr>
              <w:br/>
              <w:t>2.</w:t>
            </w:r>
            <w:r>
              <w:rPr>
                <w:rFonts w:ascii="仿宋_GB2312" w:hAnsi="仿宋_GB2312" w:cs="仿宋_GB2312" w:eastAsia="仿宋_GB2312"/>
                <w:color w:val="000000"/>
                <w:sz w:val="24"/>
                <w:szCs w:val="24"/>
                <w:lang w:val="en-US" w:eastAsia="zh-CN"/>
              </w:rPr>
              <w:t>拒不改正的，依法处罚。</w:t>
            </w:r>
          </w:p>
        </w:tc>
      </w:tr>
      <w:tr>
        <w:trPr>
          <w:trHeight w:val="1201"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4</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position w:val="0"/>
                <w:sz w:val="24"/>
                <w:sz w:val="24"/>
                <w:szCs w:val="24"/>
                <w:vertAlign w:val="baseline"/>
                <w:lang w:val="en-US" w:eastAsia="zh-CN" w:bidi="ar-SA"/>
              </w:rPr>
            </w:pPr>
            <w:r>
              <w:rPr>
                <w:rFonts w:ascii="仿宋_GB2312" w:hAnsi="仿宋_GB2312" w:cs="仿宋_GB2312" w:eastAsia="仿宋_GB2312"/>
                <w:color w:val="000000"/>
                <w:sz w:val="24"/>
                <w:szCs w:val="24"/>
              </w:rPr>
              <w:t>未按照要求进行医疗器械不良</w:t>
            </w:r>
            <w:r>
              <w:rPr>
                <w:rFonts w:ascii="仿宋_GB2312" w:hAnsi="仿宋_GB2312" w:cs="仿宋_GB2312" w:eastAsia="仿宋_GB2312"/>
                <w:color w:val="000000"/>
                <w:sz w:val="24"/>
                <w:szCs w:val="24"/>
                <w:lang w:eastAsia="zh-CN"/>
              </w:rPr>
              <w:t>事件</w:t>
            </w:r>
            <w:r>
              <w:rPr>
                <w:rFonts w:ascii="仿宋_GB2312" w:hAnsi="仿宋_GB2312" w:cs="仿宋_GB2312" w:eastAsia="仿宋_GB2312"/>
                <w:color w:val="000000"/>
                <w:sz w:val="24"/>
                <w:szCs w:val="24"/>
              </w:rPr>
              <w:t>监测和再评价</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spacing w:lineRule="exact" w:line="26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1.</w:t>
            </w:r>
            <w:r>
              <w:rPr>
                <w:rFonts w:ascii="仿宋_GB2312" w:hAnsi="仿宋_GB2312" w:cs="仿宋_GB2312" w:eastAsia="仿宋_GB2312"/>
                <w:i w:val="false"/>
                <w:color w:val="000000"/>
                <w:kern w:val="0"/>
                <w:sz w:val="24"/>
                <w:szCs w:val="24"/>
                <w:u w:val="none"/>
                <w:lang w:val="en-US" w:eastAsia="zh-CN" w:bidi="ar"/>
              </w:rPr>
              <w:t>《医疗器械不良事件监测和再评价管理办法》第七十五条：持有人、经营企业、使用单位按照本办法要求报告、调查、评价、处置医疗器械不良事件，主动消除或者减轻危害后果的，对其相关违法行为，依照《中华人民共和国行政处罚法》的规定从轻或者减轻处罚。违法行为轻微并及时纠正，没有造成危害后果的，不予处罚，但不免除其依法应当承担的其他法律责任。</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position w:val="0"/>
                <w:sz w:val="24"/>
                <w:sz w:val="24"/>
                <w:szCs w:val="24"/>
                <w:vertAlign w:val="baseline"/>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《中华人民共和国行政处罚法》第三十三条第一款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eastAsia="zh-CN"/>
              </w:rPr>
              <w:t>医疗器械注册人、备案人</w:t>
            </w:r>
            <w:r>
              <w:rPr>
                <w:rFonts w:ascii="仿宋_GB2312" w:hAnsi="仿宋_GB2312" w:cs="仿宋_GB2312" w:eastAsia="仿宋_GB2312"/>
                <w:color w:val="000000"/>
                <w:sz w:val="24"/>
                <w:szCs w:val="24"/>
              </w:rPr>
              <w:t>、经营企业</w:t>
            </w:r>
            <w:r>
              <w:rPr>
                <w:rFonts w:ascii="仿宋_GB2312" w:hAnsi="仿宋_GB2312" w:cs="仿宋_GB2312" w:eastAsia="仿宋_GB2312"/>
                <w:color w:val="000000"/>
                <w:sz w:val="24"/>
                <w:szCs w:val="24"/>
                <w:lang w:eastAsia="zh-CN"/>
              </w:rPr>
              <w:t>、使用单位</w:t>
            </w:r>
            <w:r>
              <w:rPr>
                <w:rFonts w:ascii="仿宋_GB2312" w:hAnsi="仿宋_GB2312" w:cs="仿宋_GB2312" w:eastAsia="仿宋_GB2312"/>
                <w:color w:val="000000"/>
                <w:sz w:val="24"/>
                <w:szCs w:val="24"/>
              </w:rPr>
              <w:t>按照要求报告、调查、评价、处置医疗器械不良事件</w:t>
            </w:r>
            <w:r>
              <w:rPr>
                <w:rFonts w:ascii="仿宋_GB2312" w:hAnsi="仿宋_GB2312" w:cs="仿宋_GB2312" w:eastAsia="仿宋_GB2312"/>
                <w:color w:val="000000"/>
                <w:sz w:val="24"/>
                <w:szCs w:val="24"/>
                <w:lang w:eastAsia="zh-CN"/>
              </w:rPr>
              <w:t>；</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lang w:val="en-US" w:eastAsia="zh-CN"/>
              </w:rPr>
              <w:t>违法行为轻微并及</w:t>
            </w:r>
            <w:r>
              <w:rPr>
                <w:rFonts w:ascii="仿宋_GB2312" w:hAnsi="仿宋_GB2312" w:cs="仿宋_GB2312" w:eastAsia="仿宋_GB2312"/>
                <w:color w:val="000000"/>
                <w:sz w:val="24"/>
                <w:szCs w:val="24"/>
              </w:rPr>
              <w:t>时</w:t>
            </w:r>
            <w:r>
              <w:rPr>
                <w:rFonts w:ascii="仿宋_GB2312" w:hAnsi="仿宋_GB2312" w:cs="仿宋_GB2312" w:eastAsia="仿宋_GB2312"/>
                <w:color w:val="000000"/>
                <w:sz w:val="24"/>
                <w:szCs w:val="24"/>
                <w:lang w:eastAsia="zh-CN"/>
              </w:rPr>
              <w:t>纠正；</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position w:val="0"/>
                <w:sz w:val="24"/>
                <w:sz w:val="24"/>
                <w:szCs w:val="24"/>
                <w:vertAlign w:val="baseline"/>
                <w:lang w:val="en-US" w:eastAsia="zh-CN" w:bidi="ar-SA"/>
              </w:rPr>
            </w:pP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lang w:val="en-US" w:eastAsia="zh-CN"/>
              </w:rPr>
              <w:t>未扩大风险、</w:t>
            </w:r>
            <w:r>
              <w:rPr>
                <w:rFonts w:ascii="仿宋_GB2312" w:hAnsi="仿宋_GB2312" w:cs="仿宋_GB2312" w:eastAsia="仿宋_GB2312"/>
                <w:color w:val="000000"/>
                <w:sz w:val="24"/>
                <w:szCs w:val="24"/>
              </w:rPr>
              <w:t>没有造成危害后果</w:t>
            </w:r>
            <w:r>
              <w:rPr>
                <w:rFonts w:ascii="仿宋_GB2312" w:hAnsi="仿宋_GB2312" w:cs="仿宋_GB2312" w:eastAsia="仿宋_GB2312"/>
                <w:color w:val="000000"/>
                <w:sz w:val="24"/>
                <w:szCs w:val="24"/>
                <w:lang w:eastAsia="zh-CN"/>
              </w:rPr>
              <w:t>。</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r>
              <w:rPr>
                <w:rFonts w:eastAsia="仿宋_GB2312" w:cs="仿宋_GB2312" w:ascii="仿宋_GB2312" w:hAnsi="仿宋_GB2312"/>
                <w:color w:val="000000"/>
                <w:sz w:val="24"/>
                <w:szCs w:val="24"/>
                <w:lang w:val="en-US" w:eastAsia="zh-CN"/>
              </w:rPr>
              <w:br/>
              <w:t>2.</w:t>
            </w:r>
            <w:r>
              <w:rPr>
                <w:rFonts w:ascii="仿宋_GB2312" w:hAnsi="仿宋_GB2312" w:cs="仿宋_GB2312" w:eastAsia="仿宋_GB2312"/>
                <w:color w:val="000000"/>
                <w:sz w:val="24"/>
                <w:szCs w:val="24"/>
                <w:lang w:val="en-US" w:eastAsia="zh-CN"/>
              </w:rPr>
              <w:t>拒不纠正的，依法处罚。</w:t>
            </w:r>
          </w:p>
        </w:tc>
      </w:tr>
      <w:tr>
        <w:trPr>
          <w:trHeight w:val="820"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5</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ascii="仿宋_GB2312" w:hAnsi="仿宋_GB2312" w:cs="仿宋_GB2312" w:eastAsia="仿宋_GB2312"/>
                <w:color w:val="000000"/>
                <w:sz w:val="24"/>
                <w:szCs w:val="24"/>
              </w:rPr>
              <w:t>医疗器械生产企业因违反法律、法规、规章规定造成上市医疗器械存在缺陷</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color w:val="000000"/>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医疗器械召回管理办法》第二十八条第一款：医疗器械生产企业因违反法律、法规、规章规定造成上市医疗器械存在缺陷，依法应当给予行政处罚，但该企业已经采取召回措施主动消除或者减轻危害后果的，食品药品监督管理部门依照《中华人民共和国行政处罚法》的规定给予从轻或者减轻处罚；违法行为轻微并及时纠正，没有造成危害后果的，不予处罚。</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《中华人民共和国行政处罚法》第三十三条第一款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rPr>
              <w:t>医疗器械生产企业</w:t>
            </w:r>
            <w:r>
              <w:rPr>
                <w:rFonts w:ascii="仿宋_GB2312" w:hAnsi="仿宋_GB2312" w:cs="仿宋_GB2312" w:eastAsia="仿宋_GB2312"/>
                <w:color w:val="000000"/>
                <w:sz w:val="24"/>
                <w:szCs w:val="24"/>
                <w:lang w:eastAsia="zh-CN"/>
              </w:rPr>
              <w:t>因</w:t>
            </w:r>
            <w:r>
              <w:rPr>
                <w:rFonts w:ascii="仿宋_GB2312" w:hAnsi="仿宋_GB2312" w:cs="仿宋_GB2312" w:eastAsia="仿宋_GB2312"/>
                <w:color w:val="000000"/>
                <w:sz w:val="24"/>
                <w:szCs w:val="24"/>
                <w:lang w:val="en-US" w:eastAsia="zh-CN"/>
              </w:rPr>
              <w:t>违反法律、法规、规章规定造成上市医疗器械存在缺陷，但企业</w:t>
            </w:r>
            <w:r>
              <w:rPr>
                <w:rFonts w:ascii="仿宋_GB2312" w:hAnsi="仿宋_GB2312" w:cs="仿宋_GB2312" w:eastAsia="仿宋_GB2312"/>
                <w:color w:val="000000"/>
                <w:sz w:val="24"/>
                <w:szCs w:val="24"/>
              </w:rPr>
              <w:t>采取召回措施</w:t>
            </w:r>
            <w:r>
              <w:rPr>
                <w:rFonts w:ascii="仿宋_GB2312" w:hAnsi="仿宋_GB2312" w:cs="仿宋_GB2312" w:eastAsia="仿宋_GB2312"/>
                <w:color w:val="000000"/>
                <w:sz w:val="24"/>
                <w:szCs w:val="24"/>
                <w:lang w:eastAsia="zh-CN"/>
              </w:rPr>
              <w:t>主动消除危害后果的</w:t>
            </w:r>
            <w:r>
              <w:rPr>
                <w:rFonts w:ascii="仿宋_GB2312" w:hAnsi="仿宋_GB2312" w:cs="仿宋_GB2312" w:eastAsia="仿宋_GB2312"/>
                <w:color w:val="000000"/>
                <w:sz w:val="24"/>
                <w:szCs w:val="24"/>
              </w:rPr>
              <w:t>轻微违法行为</w:t>
            </w:r>
            <w:r>
              <w:rPr>
                <w:rFonts w:ascii="仿宋_GB2312" w:hAnsi="仿宋_GB2312" w:cs="仿宋_GB2312" w:eastAsia="仿宋_GB2312"/>
                <w:color w:val="000000"/>
                <w:sz w:val="24"/>
                <w:szCs w:val="24"/>
                <w:lang w:eastAsia="zh-CN"/>
              </w:rPr>
              <w:t>；</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及时</w:t>
            </w:r>
            <w:r>
              <w:rPr>
                <w:rFonts w:ascii="仿宋_GB2312" w:hAnsi="仿宋_GB2312" w:cs="仿宋_GB2312" w:eastAsia="仿宋_GB2312"/>
                <w:color w:val="000000"/>
                <w:sz w:val="24"/>
                <w:szCs w:val="24"/>
                <w:lang w:eastAsia="zh-CN"/>
              </w:rPr>
              <w:t>纠正；</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rPr>
              <w:t>没有造成危害后果。</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r>
              <w:rPr>
                <w:rFonts w:eastAsia="仿宋_GB2312" w:cs="仿宋_GB2312" w:ascii="仿宋_GB2312" w:hAnsi="仿宋_GB2312"/>
                <w:color w:val="000000"/>
                <w:sz w:val="24"/>
                <w:szCs w:val="24"/>
                <w:lang w:val="en-US" w:eastAsia="zh-CN"/>
              </w:rPr>
              <w:br/>
              <w:t>2.</w:t>
            </w:r>
            <w:r>
              <w:rPr>
                <w:rFonts w:ascii="仿宋_GB2312" w:hAnsi="仿宋_GB2312" w:cs="仿宋_GB2312" w:eastAsia="仿宋_GB2312"/>
                <w:color w:val="000000"/>
                <w:sz w:val="24"/>
                <w:szCs w:val="24"/>
                <w:lang w:val="en-US" w:eastAsia="zh-CN"/>
              </w:rPr>
              <w:t>拒不纠正的，依法处罚。</w:t>
            </w:r>
          </w:p>
        </w:tc>
      </w:tr>
      <w:tr>
        <w:trPr>
          <w:trHeight w:val="1498"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6</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spacing w:lineRule="exact" w:line="260"/>
              <w:jc w:val="left"/>
              <w:rPr>
                <w:rFonts w:ascii="仿宋_GB2312" w:hAnsi="仿宋_GB2312" w:eastAsia="仿宋_GB2312" w:cs="仿宋_GB2312"/>
                <w:color w:val="000000"/>
                <w:sz w:val="24"/>
              </w:rPr>
            </w:pPr>
            <w:r>
              <w:rPr>
                <w:rFonts w:ascii="仿宋_GB2312" w:hAnsi="仿宋_GB2312" w:cs="仿宋_GB2312" w:eastAsia="仿宋_GB2312"/>
                <w:i w:val="false"/>
                <w:iCs w:val="false"/>
                <w:caps w:val="false"/>
                <w:smallCaps w:val="false"/>
                <w:color w:val="000000"/>
                <w:spacing w:val="0"/>
                <w:kern w:val="2"/>
                <w:sz w:val="24"/>
                <w:szCs w:val="24"/>
                <w:shd w:fill="auto" w:val="clear"/>
                <w:lang w:val="en-US" w:eastAsia="zh-CN" w:bidi="ar"/>
              </w:rPr>
              <w:t>医疗器械注册人、备案人、经营企业从事医疗器械网络销售未按照规定告知负责药品监督管理的部门</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eastAsia="zh-CN"/>
              </w:rPr>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《医疗器械监督管理条例》第八十九条：有下列情形之一的，由负责药品监督管理的部门和卫生主管部门依据各自职责责令改正，给予警告；拒不改正的，处</w:t>
            </w: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万元以上</w:t>
            </w:r>
            <w:r>
              <w:rPr>
                <w:rFonts w:eastAsia="仿宋_GB2312" w:cs="仿宋_GB2312" w:ascii="仿宋_GB2312" w:hAnsi="仿宋_GB2312"/>
                <w:color w:val="000000"/>
                <w:sz w:val="24"/>
                <w:szCs w:val="24"/>
                <w:lang w:val="en-US" w:eastAsia="zh-CN"/>
              </w:rPr>
              <w:t>10</w:t>
            </w:r>
            <w:r>
              <w:rPr>
                <w:rFonts w:ascii="仿宋_GB2312" w:hAnsi="仿宋_GB2312" w:cs="仿宋_GB2312" w:eastAsia="仿宋_GB2312"/>
                <w:color w:val="000000"/>
                <w:sz w:val="24"/>
                <w:szCs w:val="24"/>
                <w:lang w:val="en-US" w:eastAsia="zh-CN"/>
              </w:rPr>
              <w:t>万元以下罚款；情节严重的，责令停产停业，直至由原发证部门吊销医疗器械注册证、医疗器械生产许可证、医疗器械经营许可证，对违法单位的法定代表人、主要负责人、直接负责的主管人员和其他责任人员处</w:t>
            </w: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万元以上</w:t>
            </w: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lang w:val="en-US" w:eastAsia="zh-CN"/>
              </w:rPr>
              <w:t>万元以下罚款：</w:t>
            </w:r>
          </w:p>
          <w:p>
            <w:pPr>
              <w:pStyle w:val="Normal"/>
              <w:keepNext w:val="false"/>
              <w:keepLines w:val="false"/>
              <w:widowControl w:val="false"/>
              <w:numPr>
                <w:ilvl w:val="0"/>
                <w:numId w:val="2"/>
              </w:numPr>
              <w:kinsoku w:val="true"/>
              <w:overflowPunct w:val="true"/>
              <w:autoSpaceDE w:val="true"/>
              <w:bidi w:val="0"/>
              <w:snapToGrid w:val="false"/>
              <w:spacing w:lineRule="exact" w:line="260"/>
              <w:ind w:left="205" w:hanging="0"/>
              <w:textAlignment w:val="auto"/>
              <w:rPr>
                <w:rFonts w:ascii="仿宋_GB2312" w:hAnsi="仿宋_GB2312" w:eastAsia="仿宋_GB2312" w:cs="仿宋_GB2312"/>
                <w:color w:val="000000"/>
                <w:sz w:val="24"/>
                <w:szCs w:val="24"/>
                <w:lang w:val="en-US" w:eastAsia="zh-CN"/>
              </w:rPr>
            </w:pPr>
            <w:r>
              <w:rPr>
                <w:rFonts w:ascii="仿宋_GB2312" w:hAnsi="仿宋_GB2312" w:cs="仿宋_GB2312" w:eastAsia="仿宋_GB2312"/>
                <w:color w:val="000000"/>
                <w:sz w:val="24"/>
                <w:szCs w:val="24"/>
                <w:lang w:val="en-US" w:eastAsia="zh-CN"/>
              </w:rPr>
              <w:t>医疗器械注册人、备案人、经营企业从事医疗器械网络销售未按照规定告知负责药品监督管理的部门；…</w:t>
            </w:r>
          </w:p>
          <w:p>
            <w:pPr>
              <w:pStyle w:val="Normal"/>
              <w:keepNext w:val="false"/>
              <w:keepLines w:val="false"/>
              <w:widowControl w:val="false"/>
              <w:numPr>
                <w:ilvl w:val="0"/>
                <w:numId w:val="0"/>
              </w:numPr>
              <w:kinsoku w:val="true"/>
              <w:overflowPunct w:val="true"/>
              <w:autoSpaceDE w:val="true"/>
              <w:bidi w:val="0"/>
              <w:snapToGrid w:val="false"/>
              <w:spacing w:lineRule="exact" w:line="260"/>
              <w:ind w:left="205" w:hanging="0"/>
              <w:textAlignment w:val="auto"/>
              <w:rPr>
                <w:rFonts w:ascii="仿宋_GB2312" w:hAnsi="仿宋_GB2312" w:eastAsia="仿宋_GB2312" w:cs="仿宋_GB2312"/>
                <w:color w:val="000000"/>
                <w:sz w:val="24"/>
                <w:szCs w:val="24"/>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《中华人民共和国行政处罚法》第三十三条第一款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i w:val="false"/>
                <w:iCs w:val="false"/>
                <w:caps w:val="false"/>
                <w:smallCaps w:val="false"/>
                <w:color w:val="000000"/>
                <w:spacing w:val="0"/>
                <w:kern w:val="2"/>
                <w:sz w:val="24"/>
                <w:szCs w:val="24"/>
                <w:shd w:fill="auto" w:val="clear"/>
                <w:lang w:val="en-US" w:eastAsia="zh-CN" w:bidi="ar"/>
              </w:rPr>
              <w:t>从事医疗器械网络销售的经营者未按照规定告知属地监管部门的违法情节</w:t>
            </w:r>
            <w:r>
              <w:rPr>
                <w:rFonts w:ascii="仿宋_GB2312" w:hAnsi="仿宋_GB2312" w:cs="仿宋_GB2312" w:eastAsia="仿宋_GB2312"/>
                <w:color w:val="000000"/>
                <w:sz w:val="24"/>
                <w:szCs w:val="24"/>
              </w:rPr>
              <w:t>轻微</w:t>
            </w:r>
            <w:r>
              <w:rPr>
                <w:rFonts w:ascii="仿宋_GB2312" w:hAnsi="仿宋_GB2312" w:cs="仿宋_GB2312" w:eastAsia="仿宋_GB2312"/>
                <w:color w:val="000000"/>
                <w:sz w:val="24"/>
                <w:szCs w:val="24"/>
                <w:lang w:eastAsia="zh-CN"/>
              </w:rPr>
              <w:t>；</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及时</w:t>
            </w:r>
            <w:r>
              <w:rPr>
                <w:rFonts w:ascii="仿宋_GB2312" w:hAnsi="仿宋_GB2312" w:cs="仿宋_GB2312" w:eastAsia="仿宋_GB2312"/>
                <w:color w:val="000000"/>
                <w:sz w:val="24"/>
                <w:szCs w:val="24"/>
                <w:lang w:eastAsia="zh-CN"/>
              </w:rPr>
              <w:t>纠正补报；</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rPr>
            </w:pP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rPr>
              <w:t>没有造成危害后果。</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r>
              <w:rPr>
                <w:rFonts w:eastAsia="仿宋_GB2312" w:cs="仿宋_GB2312" w:ascii="仿宋_GB2312" w:hAnsi="仿宋_GB2312"/>
                <w:color w:val="000000"/>
                <w:sz w:val="24"/>
                <w:szCs w:val="24"/>
                <w:lang w:val="en-US" w:eastAsia="zh-CN"/>
              </w:rPr>
              <w:br/>
              <w:t>2.</w:t>
            </w:r>
            <w:r>
              <w:rPr>
                <w:rFonts w:ascii="仿宋_GB2312" w:hAnsi="仿宋_GB2312" w:cs="仿宋_GB2312" w:eastAsia="仿宋_GB2312"/>
                <w:color w:val="000000"/>
                <w:sz w:val="24"/>
                <w:szCs w:val="24"/>
                <w:lang w:val="en-US" w:eastAsia="zh-CN"/>
              </w:rPr>
              <w:t>拒不纠正的，依法处罚。</w:t>
            </w:r>
          </w:p>
        </w:tc>
      </w:tr>
      <w:tr>
        <w:trPr>
          <w:trHeight w:val="90"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7</w:t>
            </w:r>
          </w:p>
        </w:tc>
        <w:tc>
          <w:tcPr>
            <w:tcW w:w="7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eastAsia="zh-CN"/>
              </w:rPr>
            </w:r>
          </w:p>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eastAsia="zh-CN"/>
              </w:rPr>
            </w:r>
          </w:p>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eastAsia="zh-CN"/>
              </w:rPr>
            </w:r>
          </w:p>
          <w:p>
            <w:pPr>
              <w:pStyle w:val="Normal"/>
              <w:keepNext w:val="false"/>
              <w:keepLines w:val="false"/>
              <w:widowControl w:val="false"/>
              <w:kinsoku w:val="true"/>
              <w:overflowPunct w:val="true"/>
              <w:autoSpaceDE w:val="true"/>
              <w:bidi w:val="0"/>
              <w:snapToGrid w:val="false"/>
              <w:spacing w:lineRule="exact" w:line="260"/>
              <w:jc w:val="both"/>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eastAsia="zh-CN"/>
              </w:rPr>
            </w:r>
          </w:p>
          <w:p>
            <w:pPr>
              <w:pStyle w:val="Normal"/>
              <w:keepNext w:val="false"/>
              <w:keepLines w:val="false"/>
              <w:widowControl w:val="false"/>
              <w:kinsoku w:val="true"/>
              <w:overflowPunct w:val="true"/>
              <w:autoSpaceDE w:val="true"/>
              <w:bidi w:val="0"/>
              <w:snapToGrid w:val="false"/>
              <w:spacing w:lineRule="exact" w:line="260"/>
              <w:jc w:val="both"/>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eastAsia="zh-CN"/>
              </w:rPr>
            </w:r>
          </w:p>
          <w:p>
            <w:pPr>
              <w:pStyle w:val="Normal"/>
              <w:keepNext w:val="false"/>
              <w:keepLines w:val="false"/>
              <w:widowControl w:val="false"/>
              <w:kinsoku w:val="true"/>
              <w:overflowPunct w:val="true"/>
              <w:autoSpaceDE w:val="true"/>
              <w:bidi w:val="0"/>
              <w:snapToGrid w:val="false"/>
              <w:spacing w:lineRule="exact" w:line="260"/>
              <w:jc w:val="both"/>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eastAsia="zh-CN"/>
              </w:rPr>
            </w:r>
          </w:p>
          <w:p>
            <w:pPr>
              <w:pStyle w:val="Normal"/>
              <w:keepNext w:val="false"/>
              <w:keepLines w:val="false"/>
              <w:widowControl w:val="false"/>
              <w:kinsoku w:val="true"/>
              <w:overflowPunct w:val="true"/>
              <w:autoSpaceDE w:val="true"/>
              <w:bidi w:val="0"/>
              <w:snapToGrid w:val="false"/>
              <w:spacing w:lineRule="exact" w:line="260"/>
              <w:jc w:val="both"/>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eastAsia="zh-CN"/>
              </w:rPr>
            </w:r>
          </w:p>
          <w:p>
            <w:pPr>
              <w:pStyle w:val="Normal"/>
              <w:keepNext w:val="false"/>
              <w:keepLines w:val="false"/>
              <w:widowControl w:val="false"/>
              <w:kinsoku w:val="true"/>
              <w:overflowPunct w:val="true"/>
              <w:autoSpaceDE w:val="true"/>
              <w:bidi w:val="0"/>
              <w:snapToGrid w:val="false"/>
              <w:spacing w:lineRule="exact" w:line="260"/>
              <w:jc w:val="both"/>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eastAsia="zh-CN"/>
              </w:rPr>
            </w:r>
          </w:p>
          <w:p>
            <w:pPr>
              <w:pStyle w:val="Normal"/>
              <w:keepNext w:val="false"/>
              <w:keepLines w:val="false"/>
              <w:widowControl w:val="false"/>
              <w:kinsoku w:val="true"/>
              <w:overflowPunct w:val="true"/>
              <w:autoSpaceDE w:val="true"/>
              <w:bidi w:val="0"/>
              <w:snapToGrid w:val="false"/>
              <w:spacing w:lineRule="exact" w:line="260"/>
              <w:jc w:val="both"/>
              <w:textAlignment w:val="auto"/>
              <w:rPr>
                <w:rFonts w:ascii="仿宋_GB2312" w:hAnsi="仿宋_GB2312" w:eastAsia="仿宋_GB2312" w:cs="仿宋_GB2312"/>
                <w:color w:val="000000"/>
                <w:sz w:val="24"/>
                <w:szCs w:val="24"/>
                <w:lang w:eastAsia="zh-CN"/>
              </w:rPr>
            </w:pPr>
            <w:r>
              <w:rPr>
                <w:rFonts w:ascii="仿宋_GB2312" w:hAnsi="仿宋_GB2312" w:cs="仿宋_GB2312" w:eastAsia="仿宋_GB2312"/>
                <w:color w:val="000000"/>
                <w:sz w:val="24"/>
                <w:szCs w:val="24"/>
                <w:lang w:eastAsia="zh-CN"/>
              </w:rPr>
              <w:t>无过错不罚</w:t>
            </w:r>
          </w:p>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kern w:val="2"/>
                <w:sz w:val="24"/>
                <w:szCs w:val="24"/>
                <w:lang w:val="en-US" w:eastAsia="zh-CN" w:bidi="ar-SA"/>
              </w:rPr>
            </w:r>
          </w:p>
          <w:p>
            <w:pPr>
              <w:pStyle w:val="Normal"/>
              <w:spacing w:lineRule="exact" w:line="260"/>
              <w:jc w:val="center"/>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kern w:val="2"/>
                <w:sz w:val="24"/>
                <w:szCs w:val="24"/>
                <w:lang w:val="en-US" w:eastAsia="zh-CN" w:bidi="ar-SA"/>
              </w:rPr>
            </w:r>
          </w:p>
          <w:p>
            <w:pPr>
              <w:pStyle w:val="Normal"/>
              <w:spacing w:lineRule="exact" w:line="260"/>
              <w:jc w:val="center"/>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kern w:val="2"/>
                <w:sz w:val="24"/>
                <w:szCs w:val="24"/>
                <w:lang w:val="en-US" w:eastAsia="zh-CN" w:bidi="ar-SA"/>
              </w:rPr>
            </w:r>
          </w:p>
          <w:p>
            <w:pPr>
              <w:pStyle w:val="Normal"/>
              <w:spacing w:lineRule="exact" w:line="260"/>
              <w:jc w:val="center"/>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kern w:val="2"/>
                <w:sz w:val="24"/>
                <w:szCs w:val="24"/>
                <w:lang w:val="en-US" w:eastAsia="zh-CN" w:bidi="ar-SA"/>
              </w:rPr>
            </w:r>
          </w:p>
          <w:p>
            <w:pPr>
              <w:pStyle w:val="Normal"/>
              <w:spacing w:lineRule="exact" w:line="260"/>
              <w:jc w:val="center"/>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kern w:val="2"/>
                <w:sz w:val="24"/>
                <w:szCs w:val="24"/>
                <w:lang w:val="en-US" w:eastAsia="zh-CN" w:bidi="ar-SA"/>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rPr>
            </w:pPr>
            <w:r>
              <w:rPr>
                <w:rFonts w:ascii="仿宋_GB2312" w:hAnsi="仿宋_GB2312" w:cs="仿宋_GB2312" w:eastAsia="仿宋_GB2312"/>
                <w:color w:val="000000"/>
                <w:sz w:val="24"/>
                <w:szCs w:val="24"/>
              </w:rPr>
              <w:t>药品经营企业、医疗机构销售或者使用假药、劣药</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sz w:val="24"/>
                <w:szCs w:val="24"/>
              </w:rPr>
            </w:pPr>
            <w:r>
              <w:rPr>
                <w:rFonts w:ascii="仿宋_GB2312" w:hAnsi="仿宋_GB2312" w:cs="仿宋_GB2312" w:eastAsia="仿宋_GB2312"/>
                <w:color w:val="000000"/>
                <w:sz w:val="24"/>
                <w:szCs w:val="24"/>
                <w:lang w:eastAsia="zh-CN"/>
              </w:rPr>
              <w:t>《中华人民共和国药品管理法实施条例》第八十六条：</w:t>
            </w:r>
            <w:r>
              <w:rPr>
                <w:rFonts w:ascii="仿宋_GB2312" w:hAnsi="仿宋_GB2312" w:cs="仿宋_GB2312" w:eastAsia="仿宋_GB2312"/>
                <w:color w:val="000000"/>
                <w:sz w:val="24"/>
                <w:szCs w:val="24"/>
              </w:rPr>
              <w:t>药品经营企业、医疗机构履行了药品管理法、疫苗管理法、本条例规定的进货检查验收等义务，有充分证据证明其不知道所销售或者使用的药品是假药、劣药的，免予处罚，但应当收缴其销售或者使用的假药、劣药；造成人身、财产或者其他损害的，依法承担赔偿责任。</w:t>
            </w:r>
          </w:p>
          <w:p>
            <w:pPr>
              <w:pStyle w:val="Normal"/>
              <w:spacing w:lineRule="exact" w:line="260"/>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《中华人民共和国行政处罚法》第三十三条第二款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rPr>
              <w:t>药品经营企业、医疗机构履行了药品管理法、疫苗管理法、本条例规定的进货检查验收等义务，有充分证据证明其不知道所销售或者使用的药品是假药、劣药的</w:t>
            </w:r>
            <w:r>
              <w:rPr>
                <w:rFonts w:ascii="仿宋_GB2312" w:hAnsi="仿宋_GB2312" w:cs="仿宋_GB2312" w:eastAsia="仿宋_GB2312"/>
                <w:color w:val="000000"/>
                <w:sz w:val="24"/>
                <w:szCs w:val="24"/>
                <w:lang w:eastAsia="zh-CN"/>
              </w:rPr>
              <w:t>；</w:t>
            </w:r>
          </w:p>
          <w:p>
            <w:pPr>
              <w:pStyle w:val="Normal"/>
              <w:spacing w:lineRule="exact" w:line="260"/>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lang w:val="en-US" w:eastAsia="zh-CN"/>
              </w:rPr>
              <w:t>能如实说明其进货来源；</w:t>
            </w:r>
          </w:p>
          <w:p>
            <w:pPr>
              <w:pStyle w:val="Normal"/>
              <w:spacing w:lineRule="exact" w:line="260"/>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rPr>
              <w:t>收缴其销售或者使用的假药、劣药；造成人身、财产或者其他损害的，依法承担</w:t>
            </w:r>
            <w:r>
              <w:rPr>
                <w:rFonts w:ascii="仿宋_GB2312" w:hAnsi="仿宋_GB2312" w:cs="仿宋_GB2312" w:eastAsia="仿宋_GB2312"/>
                <w:color w:val="000000"/>
                <w:sz w:val="24"/>
                <w:szCs w:val="24"/>
                <w:lang w:eastAsia="zh-CN"/>
              </w:rPr>
              <w:t>民事</w:t>
            </w:r>
            <w:r>
              <w:rPr>
                <w:rFonts w:ascii="仿宋_GB2312" w:hAnsi="仿宋_GB2312" w:cs="仿宋_GB2312" w:eastAsia="仿宋_GB2312"/>
                <w:color w:val="000000"/>
                <w:sz w:val="24"/>
                <w:szCs w:val="24"/>
              </w:rPr>
              <w:t>赔偿责任。</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sz w:val="24"/>
                <w:szCs w:val="24"/>
                <w:lang w:val="en-US" w:eastAsia="zh-CN"/>
              </w:rPr>
            </w:pP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p>
        </w:tc>
      </w:tr>
      <w:tr>
        <w:trPr>
          <w:trHeight w:val="90"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8</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kern w:val="2"/>
                <w:sz w:val="24"/>
                <w:szCs w:val="24"/>
                <w:lang w:val="en-US" w:eastAsia="zh-CN" w:bidi="ar-SA"/>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 w:eastAsia="zh-CN" w:bidi="ar-SA"/>
              </w:rPr>
            </w:pPr>
            <w:r>
              <w:rPr>
                <w:rFonts w:ascii="仿宋_GB2312" w:hAnsi="仿宋_GB2312" w:cs="仿宋_GB2312" w:eastAsia="仿宋_GB2312"/>
                <w:color w:val="000000"/>
                <w:sz w:val="24"/>
                <w:szCs w:val="24"/>
              </w:rPr>
              <w:t>经营未取得医疗器械注册证</w:t>
            </w:r>
            <w:r>
              <w:rPr>
                <w:rFonts w:ascii="仿宋_GB2312" w:hAnsi="仿宋_GB2312" w:cs="仿宋_GB2312" w:eastAsia="仿宋_GB2312"/>
                <w:color w:val="000000"/>
                <w:sz w:val="24"/>
                <w:szCs w:val="24"/>
                <w:lang w:eastAsia="zh-CN"/>
              </w:rPr>
              <w:t>的第二类、第三类</w:t>
            </w:r>
            <w:r>
              <w:rPr>
                <w:rFonts w:ascii="仿宋_GB2312" w:hAnsi="仿宋_GB2312" w:cs="仿宋_GB2312" w:eastAsia="仿宋_GB2312"/>
                <w:color w:val="000000"/>
                <w:sz w:val="24"/>
                <w:szCs w:val="24"/>
              </w:rPr>
              <w:t>医疗器械</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医疗器械监督管理条例》第八十七条：医疗器械经营企业、使用单位履行了本条例规定的进货查验等义务，有充分证据证明其不知道所经营、使用的医疗器械为本条例第八十一条第一款第一项、第八十四条第一项、第八十六条第一项和第三项规定情形的医疗器械，并能如实说明其进货来源的，收缴其经营、使用的不符合法定要求的医疗器械，可以免除行政处罚。</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《中华人民共和国行政处罚法》第三十三条第二款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rPr>
              <w:t>医疗器械经营企业履行了本条例规定的进货查验等义务，有充分证据证明其不知道所经营的医疗器械为本条例第八十一条第一款第一项规定情形的医疗器械</w:t>
            </w:r>
            <w:r>
              <w:rPr>
                <w:rFonts w:ascii="仿宋_GB2312" w:hAnsi="仿宋_GB2312" w:cs="仿宋_GB2312" w:eastAsia="仿宋_GB2312"/>
                <w:color w:val="000000"/>
                <w:sz w:val="24"/>
                <w:szCs w:val="24"/>
                <w:lang w:eastAsia="zh-CN"/>
              </w:rPr>
              <w:t>的行为；</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lang w:val="en-US" w:eastAsia="zh-CN"/>
              </w:rPr>
              <w:t>能</w:t>
            </w:r>
            <w:r>
              <w:rPr>
                <w:rFonts w:ascii="仿宋_GB2312" w:hAnsi="仿宋_GB2312" w:cs="仿宋_GB2312" w:eastAsia="仿宋_GB2312"/>
                <w:color w:val="000000"/>
                <w:sz w:val="24"/>
                <w:szCs w:val="24"/>
              </w:rPr>
              <w:t>如实说明其进货来源</w:t>
            </w:r>
            <w:r>
              <w:rPr>
                <w:rFonts w:ascii="仿宋_GB2312" w:hAnsi="仿宋_GB2312" w:cs="仿宋_GB2312" w:eastAsia="仿宋_GB2312"/>
                <w:color w:val="000000"/>
                <w:sz w:val="24"/>
                <w:szCs w:val="24"/>
                <w:lang w:eastAsia="zh-CN"/>
              </w:rPr>
              <w:t>；</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rPr>
              <w:t>收缴其经营的不符合法定要求的医疗器械。</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US" w:eastAsia="zh-CN" w:bidi="ar-SA"/>
              </w:rPr>
            </w:pP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p>
        </w:tc>
      </w:tr>
      <w:tr>
        <w:trPr>
          <w:trHeight w:val="1503"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9</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kern w:val="2"/>
                <w:sz w:val="24"/>
                <w:szCs w:val="24"/>
                <w:lang w:val="en-US" w:eastAsia="zh-CN" w:bidi="ar-SA"/>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kern w:val="2"/>
                <w:sz w:val="24"/>
                <w:szCs w:val="24"/>
                <w:lang w:val="en-US" w:eastAsia="zh-CN" w:bidi="ar-SA"/>
              </w:rPr>
            </w:pPr>
            <w:r>
              <w:rPr>
                <w:rFonts w:ascii="仿宋_GB2312" w:hAnsi="仿宋_GB2312" w:cs="仿宋_GB2312" w:eastAsia="仿宋_GB2312"/>
                <w:color w:val="000000"/>
                <w:sz w:val="24"/>
                <w:szCs w:val="24"/>
              </w:rPr>
              <w:t>经营未经备案的第一类医疗器械</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医疗器械监督管理条例》第八十七条：医疗器械经营企业、使用单位履行了本条例规定的进货查验等义务，有充分证据证明其不知道所经营、使用的医疗器械为本条例第八十一条第一款第一项、第八十四条第一项、第八十六条第一项和第三项规定情形的医疗器械，并能如实说明其进货来源的，收缴其经营、使用的不符合法定要求的医疗器械，可以免除行政处罚。</w:t>
            </w:r>
          </w:p>
          <w:p>
            <w:pPr>
              <w:pStyle w:val="Normal"/>
              <w:spacing w:lineRule="exact" w:line="260"/>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《中华人民共和国行政处罚法》第三十三条第二款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rPr>
              <w:t>医疗器械经营企业履行了本条例规定的进货查验等义务，有充分证据证明其不知道所经营的医疗器械为本条例第八十四条第一项规定情形的医疗器械</w:t>
            </w:r>
            <w:r>
              <w:rPr>
                <w:rFonts w:ascii="仿宋_GB2312" w:hAnsi="仿宋_GB2312" w:cs="仿宋_GB2312" w:eastAsia="仿宋_GB2312"/>
                <w:color w:val="000000"/>
                <w:sz w:val="24"/>
                <w:szCs w:val="24"/>
                <w:lang w:eastAsia="zh-CN"/>
              </w:rPr>
              <w:t>的行为；</w:t>
            </w:r>
          </w:p>
          <w:p>
            <w:pPr>
              <w:pStyle w:val="Normal"/>
              <w:spacing w:lineRule="exact" w:line="260"/>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能如实说明其进货来源</w:t>
            </w:r>
            <w:r>
              <w:rPr>
                <w:rFonts w:ascii="仿宋_GB2312" w:hAnsi="仿宋_GB2312" w:cs="仿宋_GB2312" w:eastAsia="仿宋_GB2312"/>
                <w:color w:val="000000"/>
                <w:sz w:val="24"/>
                <w:szCs w:val="24"/>
                <w:lang w:eastAsia="zh-CN"/>
              </w:rPr>
              <w:t>；</w:t>
            </w:r>
          </w:p>
          <w:p>
            <w:pPr>
              <w:pStyle w:val="Normal"/>
              <w:spacing w:lineRule="exact" w:line="260"/>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rPr>
              <w:t>收缴其经营的不符合法定要求的医疗器械</w:t>
            </w:r>
            <w:r>
              <w:rPr>
                <w:rFonts w:ascii="仿宋_GB2312" w:hAnsi="仿宋_GB2312" w:cs="仿宋_GB2312" w:eastAsia="仿宋_GB2312"/>
                <w:color w:val="000000"/>
                <w:sz w:val="24"/>
                <w:szCs w:val="24"/>
                <w:lang w:eastAsia="zh-CN"/>
              </w:rPr>
              <w:t>。</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kern w:val="2"/>
                <w:sz w:val="24"/>
                <w:szCs w:val="24"/>
                <w:lang w:val="en-US" w:eastAsia="zh-CN" w:bidi="ar-SA"/>
              </w:rPr>
            </w:pP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r>
              <w:rPr>
                <w:rFonts w:eastAsia="仿宋_GB2312" w:cs="仿宋_GB2312" w:ascii="仿宋_GB2312" w:hAnsi="仿宋_GB2312"/>
                <w:color w:val="000000"/>
                <w:sz w:val="24"/>
                <w:szCs w:val="24"/>
                <w:lang w:val="en-US" w:eastAsia="zh-CN"/>
              </w:rPr>
              <w:br/>
            </w:r>
          </w:p>
        </w:tc>
      </w:tr>
      <w:tr>
        <w:trPr>
          <w:trHeight w:val="90"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eastAsia="仿宋_GB2312" w:cs="仿宋_GB2312" w:ascii="仿宋_GB2312" w:hAnsi="仿宋_GB2312"/>
                <w:color w:val="000000"/>
                <w:sz w:val="24"/>
                <w:szCs w:val="24"/>
                <w:lang w:val="en-US" w:eastAsia="zh-CN"/>
              </w:rPr>
              <w:t>0</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kern w:val="2"/>
                <w:sz w:val="24"/>
                <w:szCs w:val="24"/>
                <w:lang w:val="en-US" w:eastAsia="zh-CN" w:bidi="ar-SA"/>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kern w:val="2"/>
                <w:sz w:val="24"/>
                <w:szCs w:val="24"/>
                <w:lang w:val="en-US" w:eastAsia="zh-CN" w:bidi="ar-SA"/>
              </w:rPr>
            </w:pPr>
            <w:r>
              <w:rPr>
                <w:rFonts w:ascii="仿宋_GB2312" w:hAnsi="仿宋_GB2312" w:cs="仿宋_GB2312" w:eastAsia="仿宋_GB2312"/>
                <w:color w:val="000000"/>
                <w:sz w:val="24"/>
                <w:szCs w:val="24"/>
              </w:rPr>
              <w:t>经营、使用不符合强制标准或者不符合经注册或备案的产品技术要求的医疗器械</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医疗器械监督管理条例》第八十七条：医疗器械经营企业、使用单位履行了本条例规定的进货查验等义务，有充分证据证明其不知道所经营、使用的医疗器械为本条例第八十一条第一款第一项、第八十四条第一项、第八十六条第一项和第三项规定情形的医疗器械，并能如实说明其进货来源的，收缴其经营、使用的不符合法定要求的医疗器械，可以免除行政处罚。</w:t>
            </w:r>
          </w:p>
          <w:p>
            <w:pPr>
              <w:pStyle w:val="Normal"/>
              <w:spacing w:lineRule="exact" w:line="260"/>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《中华人民共和国行政处罚法》第三十三条第二款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rPr>
              <w:t>医疗器械经营企业、使用单位履行了本条例规定的进货查验等义务，有充分证据证明其不知道所经营、使用的医疗器械为本条例第八十六条第一项规定情形的医疗器械</w:t>
            </w:r>
            <w:r>
              <w:rPr>
                <w:rFonts w:ascii="仿宋_GB2312" w:hAnsi="仿宋_GB2312" w:cs="仿宋_GB2312" w:eastAsia="仿宋_GB2312"/>
                <w:color w:val="000000"/>
                <w:sz w:val="24"/>
                <w:szCs w:val="24"/>
                <w:lang w:eastAsia="zh-CN"/>
              </w:rPr>
              <w:t>的行为；</w:t>
            </w:r>
          </w:p>
          <w:p>
            <w:pPr>
              <w:pStyle w:val="Normal"/>
              <w:spacing w:lineRule="exact" w:line="260"/>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能如实说明其进货来源</w:t>
            </w:r>
            <w:r>
              <w:rPr>
                <w:rFonts w:ascii="仿宋_GB2312" w:hAnsi="仿宋_GB2312" w:cs="仿宋_GB2312" w:eastAsia="仿宋_GB2312"/>
                <w:color w:val="000000"/>
                <w:sz w:val="24"/>
                <w:szCs w:val="24"/>
                <w:lang w:eastAsia="zh-CN"/>
              </w:rPr>
              <w:t>；</w:t>
            </w:r>
          </w:p>
          <w:p>
            <w:pPr>
              <w:pStyle w:val="Normal"/>
              <w:spacing w:lineRule="exact" w:line="260"/>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rPr>
              <w:t>收缴其经营、使用的不符合法定要求的医疗器械。</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kern w:val="2"/>
                <w:sz w:val="24"/>
                <w:szCs w:val="24"/>
                <w:lang w:val="en-US" w:eastAsia="zh-CN" w:bidi="ar-SA"/>
              </w:rPr>
            </w:pP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r>
              <w:rPr>
                <w:rFonts w:eastAsia="仿宋_GB2312" w:cs="仿宋_GB2312" w:ascii="仿宋_GB2312" w:hAnsi="仿宋_GB2312"/>
                <w:color w:val="000000"/>
                <w:sz w:val="24"/>
                <w:szCs w:val="24"/>
                <w:lang w:val="en-US" w:eastAsia="zh-CN"/>
              </w:rPr>
              <w:br/>
            </w:r>
          </w:p>
        </w:tc>
      </w:tr>
      <w:tr>
        <w:trPr>
          <w:trHeight w:val="3669"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eastAsia="仿宋_GB2312" w:cs="仿宋_GB2312" w:ascii="仿宋_GB2312" w:hAnsi="仿宋_GB2312"/>
                <w:color w:val="000000"/>
                <w:sz w:val="24"/>
                <w:szCs w:val="24"/>
                <w:lang w:val="en-US" w:eastAsia="zh-CN"/>
              </w:rPr>
              <w:t>1</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kern w:val="2"/>
                <w:sz w:val="24"/>
                <w:szCs w:val="24"/>
                <w:lang w:val="en-US" w:eastAsia="zh-CN" w:bidi="ar-SA"/>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kern w:val="2"/>
                <w:sz w:val="24"/>
                <w:szCs w:val="24"/>
                <w:lang w:val="en-US" w:eastAsia="zh-CN" w:bidi="ar-SA"/>
              </w:rPr>
            </w:pPr>
            <w:r>
              <w:rPr>
                <w:rFonts w:ascii="仿宋_GB2312" w:hAnsi="仿宋_GB2312" w:cs="仿宋_GB2312" w:eastAsia="仿宋_GB2312"/>
                <w:color w:val="000000"/>
                <w:sz w:val="24"/>
                <w:szCs w:val="24"/>
              </w:rPr>
              <w:t>经营、使用无合格证明文件、过期、失效、淘汰的医疗器械，或者使用未依法注册的医疗器械</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医疗器械监督管理条例》第八十七条：医疗器械经营企业、使用单位履行了本条例规定的进货查验等义务，有充分证据证明其不知道所经营、使用的医疗器械为本条例第八十一条第一款第一项、第八十四条第一项、第八十六条第一项和第三项规定情形的医疗器械，并能如实说明其进货来源的，收缴其经营、使用的不符合法定要求的医疗器械，可以免除行政处罚。</w:t>
            </w:r>
          </w:p>
          <w:p>
            <w:pPr>
              <w:pStyle w:val="Normal"/>
              <w:spacing w:lineRule="exact" w:line="260"/>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《中华人民共和国行政处罚法》第三十三条第二款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rPr>
              <w:t>医疗器械经营企业、使用单位履行了本条例规定的进货查验等义务，有充分证据证明其不知道所经营、使用的医疗器械为本条例第八十六条第三项规定情形的医疗器械</w:t>
            </w:r>
            <w:r>
              <w:rPr>
                <w:rFonts w:ascii="仿宋_GB2312" w:hAnsi="仿宋_GB2312" w:cs="仿宋_GB2312" w:eastAsia="仿宋_GB2312"/>
                <w:color w:val="000000"/>
                <w:sz w:val="24"/>
                <w:szCs w:val="24"/>
                <w:lang w:eastAsia="zh-CN"/>
              </w:rPr>
              <w:t>的行为；</w:t>
            </w:r>
          </w:p>
          <w:p>
            <w:pPr>
              <w:pStyle w:val="Normal"/>
              <w:spacing w:lineRule="exact" w:line="260"/>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能如实说明其进货来源</w:t>
            </w:r>
            <w:r>
              <w:rPr>
                <w:rFonts w:ascii="仿宋_GB2312" w:hAnsi="仿宋_GB2312" w:cs="仿宋_GB2312" w:eastAsia="仿宋_GB2312"/>
                <w:color w:val="000000"/>
                <w:sz w:val="24"/>
                <w:szCs w:val="24"/>
                <w:lang w:eastAsia="zh-CN"/>
              </w:rPr>
              <w:t>；</w:t>
            </w:r>
          </w:p>
          <w:p>
            <w:pPr>
              <w:pStyle w:val="Normal"/>
              <w:spacing w:lineRule="exact" w:line="260"/>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rPr>
              <w:t>收缴其经营、使用的不符合法定要求的医疗器械。</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kern w:val="2"/>
                <w:sz w:val="24"/>
                <w:szCs w:val="24"/>
                <w:lang w:val="en-US" w:eastAsia="zh-CN" w:bidi="ar-SA"/>
              </w:rPr>
            </w:pP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r>
              <w:rPr>
                <w:rFonts w:eastAsia="仿宋_GB2312" w:cs="仿宋_GB2312" w:ascii="仿宋_GB2312" w:hAnsi="仿宋_GB2312"/>
                <w:color w:val="000000"/>
                <w:sz w:val="24"/>
                <w:szCs w:val="24"/>
                <w:lang w:val="en-US" w:eastAsia="zh-CN"/>
              </w:rPr>
              <w:br/>
            </w:r>
          </w:p>
        </w:tc>
      </w:tr>
      <w:tr>
        <w:trPr>
          <w:trHeight w:val="2537"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eastAsia="仿宋_GB2312" w:cs="仿宋_GB2312" w:ascii="仿宋_GB2312" w:hAnsi="仿宋_GB2312"/>
                <w:color w:val="000000"/>
                <w:sz w:val="24"/>
                <w:szCs w:val="24"/>
                <w:lang w:val="en-US" w:eastAsia="zh-CN"/>
              </w:rPr>
              <w:t>2</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exact" w:line="260"/>
              <w:jc w:val="center"/>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kern w:val="2"/>
                <w:sz w:val="24"/>
                <w:szCs w:val="24"/>
                <w:lang w:val="en-US" w:eastAsia="zh-CN" w:bidi="ar-SA"/>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kern w:val="2"/>
                <w:sz w:val="24"/>
                <w:szCs w:val="24"/>
                <w:lang w:val="en-US" w:eastAsia="zh-CN" w:bidi="ar-SA"/>
              </w:rPr>
            </w:pPr>
            <w:r>
              <w:rPr>
                <w:rFonts w:ascii="仿宋_GB2312" w:hAnsi="仿宋_GB2312" w:cs="仿宋_GB2312" w:eastAsia="仿宋_GB2312"/>
                <w:color w:val="000000"/>
                <w:sz w:val="24"/>
                <w:szCs w:val="24"/>
              </w:rPr>
              <w:t>经营不符合强制性国家标准、技术规范或者不符合化妆品注册、备案资料载明的技术要求的化妆品</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rPr>
              <w:t>《</w:t>
            </w:r>
            <w:r>
              <w:rPr>
                <w:rFonts w:ascii="仿宋_GB2312" w:hAnsi="仿宋_GB2312" w:cs="仿宋_GB2312" w:eastAsia="仿宋_GB2312"/>
                <w:color w:val="000000"/>
                <w:sz w:val="24"/>
                <w:szCs w:val="24"/>
                <w:lang w:val="en-US" w:eastAsia="zh-CN"/>
              </w:rPr>
              <w:t>化妆品监督管理条例》第六十八条： 化妆品经营者履行了本条例规定的进货查验记录等义务，有证据证明其不知道所采购的化妆品是不符合强制性国家标准、技术规范或者不符合化妆品注册、备案资料载明的技术要求的，收缴其经营的不符合强制性国家标准、技术规范或者不符合化妆品注册、备案资料载明的技术要求的化妆品，可以免除行政处罚。</w:t>
            </w:r>
          </w:p>
          <w:p>
            <w:pPr>
              <w:pStyle w:val="Normal"/>
              <w:spacing w:lineRule="exact" w:line="260"/>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《中华人民共和国行政处罚法》第三十三条第二款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rPr>
              <w:t>化妆品经营者履行了本条例规定的进货查验记录等义务，有证据证明其不知道所采购的化妆品是不符合强制性国家标准、技术规范或者不符合化妆品注册、备案资料载明的技术要求的</w:t>
            </w:r>
            <w:r>
              <w:rPr>
                <w:rFonts w:ascii="仿宋_GB2312" w:hAnsi="仿宋_GB2312" w:cs="仿宋_GB2312" w:eastAsia="仿宋_GB2312"/>
                <w:color w:val="000000"/>
                <w:sz w:val="24"/>
                <w:szCs w:val="24"/>
                <w:lang w:eastAsia="zh-CN"/>
              </w:rPr>
              <w:t>行为；</w:t>
            </w:r>
          </w:p>
          <w:p>
            <w:pPr>
              <w:pStyle w:val="Normal"/>
              <w:spacing w:lineRule="exact" w:line="260"/>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收缴其经营的不符合强制性国家标准、技术规范或者不符合化妆品注册、备案资料载明的技术要求的化妆品。</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60"/>
              <w:rPr>
                <w:rFonts w:ascii="仿宋_GB2312" w:hAnsi="仿宋_GB2312" w:eastAsia="仿宋_GB2312" w:cs="仿宋_GB2312"/>
                <w:color w:val="000000"/>
                <w:kern w:val="2"/>
                <w:sz w:val="24"/>
                <w:szCs w:val="24"/>
                <w:lang w:val="en-US" w:eastAsia="zh-CN" w:bidi="ar-SA"/>
              </w:rPr>
            </w:pP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p>
        </w:tc>
      </w:tr>
      <w:tr>
        <w:trPr>
          <w:trHeight w:val="1503"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1</w:t>
            </w:r>
            <w:r>
              <w:rPr>
                <w:rFonts w:eastAsia="仿宋_GB2312" w:cs="仿宋_GB2312" w:ascii="仿宋_GB2312" w:hAnsi="仿宋_GB2312"/>
                <w:color w:val="000000"/>
                <w:sz w:val="24"/>
                <w:szCs w:val="24"/>
                <w:lang w:val="en-US" w:eastAsia="zh-CN"/>
              </w:rPr>
              <w:t>3</w:t>
            </w:r>
          </w:p>
        </w:tc>
        <w:tc>
          <w:tcPr>
            <w:tcW w:w="7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eastAsia="zh-CN"/>
              </w:rPr>
            </w:pPr>
            <w:r>
              <w:rPr>
                <w:rFonts w:ascii="仿宋_GB2312" w:hAnsi="仿宋_GB2312" w:cs="仿宋_GB2312" w:eastAsia="仿宋_GB2312"/>
                <w:color w:val="000000"/>
                <w:sz w:val="24"/>
                <w:szCs w:val="24"/>
                <w:lang w:eastAsia="zh-CN"/>
              </w:rPr>
              <w:t>首违不罚</w:t>
            </w:r>
          </w:p>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spacing w:lineRule="exact" w:line="260"/>
              <w:jc w:val="left"/>
              <w:textAlignment w:val="center"/>
              <w:rPr>
                <w:rFonts w:ascii="仿宋_GB2312" w:hAnsi="仿宋_GB2312" w:eastAsia="仿宋_GB2312" w:cs="仿宋_GB2312"/>
                <w:color w:val="000000"/>
                <w:kern w:val="2"/>
                <w:position w:val="0"/>
                <w:sz w:val="24"/>
                <w:sz w:val="24"/>
                <w:szCs w:val="24"/>
                <w:vertAlign w:val="baseline"/>
                <w:lang w:val="en-US" w:eastAsia="zh-CN" w:bidi="ar-SA"/>
              </w:rPr>
            </w:pPr>
            <w:r>
              <w:rPr>
                <w:rFonts w:ascii="仿宋_GB2312" w:hAnsi="仿宋_GB2312" w:cs="仿宋_GB2312" w:eastAsia="仿宋_GB2312"/>
                <w:i w:val="false"/>
                <w:color w:val="000000"/>
                <w:kern w:val="0"/>
                <w:sz w:val="24"/>
                <w:szCs w:val="24"/>
                <w:u w:val="none"/>
                <w:lang w:val="en-US" w:eastAsia="zh-CN" w:bidi="ar"/>
              </w:rPr>
              <w:t>药品经营企业、医疗机构未按照规定报告疑似药品不良反应</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spacing w:lineRule="exact" w:line="26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kern w:val="0"/>
                <w:sz w:val="24"/>
                <w:szCs w:val="24"/>
                <w:u w:val="none"/>
                <w:lang w:val="en-US" w:eastAsia="zh-CN" w:bidi="ar"/>
              </w:rPr>
              <w:t>1.</w:t>
            </w:r>
            <w:r>
              <w:rPr>
                <w:rFonts w:ascii="仿宋_GB2312" w:hAnsi="仿宋_GB2312" w:cs="仿宋_GB2312" w:eastAsia="仿宋_GB2312"/>
                <w:i w:val="false"/>
                <w:color w:val="000000"/>
                <w:kern w:val="0"/>
                <w:sz w:val="24"/>
                <w:szCs w:val="24"/>
                <w:u w:val="none"/>
                <w:lang w:val="en-US" w:eastAsia="zh-CN" w:bidi="ar"/>
              </w:rPr>
              <w:t>《中华人民共和国药品管理法》第一百三十四条：药品上市许可持有人未按照规定开展药品不良反应监测或者报告疑似药品不良反应的，责令限期改正，给予警告；逾期不改正的，责令停产停业整顿，并处十万元以上一百万元以下的罚款。</w:t>
            </w:r>
          </w:p>
          <w:p>
            <w:pPr>
              <w:pStyle w:val="Normal"/>
              <w:keepNext w:val="false"/>
              <w:keepLines w:val="false"/>
              <w:widowControl/>
              <w:spacing w:lineRule="exact" w:line="260"/>
              <w:ind w:firstLine="48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ascii="仿宋_GB2312" w:hAnsi="仿宋_GB2312" w:cs="仿宋_GB2312" w:eastAsia="仿宋_GB2312"/>
                <w:i w:val="false"/>
                <w:color w:val="000000"/>
                <w:kern w:val="0"/>
                <w:sz w:val="24"/>
                <w:szCs w:val="24"/>
                <w:u w:val="none"/>
                <w:lang w:val="en-US" w:eastAsia="zh-CN" w:bidi="ar"/>
              </w:rPr>
              <w:t>药品经营企业未按照规定报告疑似药品不良反应的，责令限期改正，给予警告；逾期不改正的，责令停产停业整</w:t>
            </w:r>
            <w:r>
              <w:rPr>
                <w:rFonts w:ascii="仿宋_GB2312" w:hAnsi="仿宋_GB2312" w:cs="仿宋_GB2312" w:eastAsia="仿宋_GB2312"/>
                <w:i w:val="false"/>
                <w:color w:val="000000"/>
                <w:spacing w:val="-11"/>
                <w:kern w:val="0"/>
                <w:sz w:val="24"/>
                <w:szCs w:val="24"/>
                <w:u w:val="none"/>
                <w:lang w:val="en-US" w:eastAsia="zh-CN" w:bidi="ar"/>
              </w:rPr>
              <w:t>顿，并处五万元以上五十万元以下的罚款。</w:t>
            </w:r>
          </w:p>
          <w:p>
            <w:pPr>
              <w:pStyle w:val="Normal"/>
              <w:keepNext w:val="false"/>
              <w:keepLines w:val="false"/>
              <w:widowControl/>
              <w:spacing w:lineRule="exact" w:line="260"/>
              <w:ind w:firstLine="48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ascii="仿宋_GB2312" w:hAnsi="仿宋_GB2312" w:cs="仿宋_GB2312" w:eastAsia="仿宋_GB2312"/>
                <w:i w:val="false"/>
                <w:color w:val="000000"/>
                <w:kern w:val="0"/>
                <w:sz w:val="24"/>
                <w:szCs w:val="24"/>
                <w:u w:val="none"/>
                <w:lang w:val="en-US" w:eastAsia="zh-CN" w:bidi="ar"/>
              </w:rPr>
              <w:t>医疗机构未按照规定报告疑似药品不良反应的，责令限期改正，给予警告；逾期不改正的，处五万元以上五十万元以下的罚款。</w:t>
            </w:r>
          </w:p>
          <w:p>
            <w:pPr>
              <w:pStyle w:val="Normal"/>
              <w:keepNext w:val="false"/>
              <w:keepLines w:val="false"/>
              <w:widowControl/>
              <w:spacing w:lineRule="exact" w:line="26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w:t>
            </w:r>
            <w:r>
              <w:rPr>
                <w:rFonts w:ascii="仿宋_GB2312" w:hAnsi="仿宋_GB2312" w:cs="仿宋_GB2312" w:eastAsia="仿宋_GB2312"/>
                <w:color w:val="000000"/>
                <w:sz w:val="24"/>
                <w:szCs w:val="24"/>
                <w:lang w:eastAsia="zh-CN"/>
              </w:rPr>
              <w:t>一</w:t>
            </w:r>
            <w:r>
              <w:rPr>
                <w:rFonts w:ascii="仿宋_GB2312" w:hAnsi="仿宋_GB2312" w:cs="仿宋_GB2312" w:eastAsia="仿宋_GB2312"/>
                <w:color w:val="000000"/>
                <w:sz w:val="24"/>
                <w:szCs w:val="24"/>
              </w:rPr>
              <w:t>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首次实施违法行为；</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危害后果轻微</w:t>
            </w:r>
            <w:r>
              <w:rPr>
                <w:rFonts w:ascii="仿宋_GB2312" w:hAnsi="仿宋_GB2312" w:cs="仿宋_GB2312" w:eastAsia="仿宋_GB2312"/>
                <w:color w:val="000000"/>
                <w:sz w:val="24"/>
                <w:szCs w:val="24"/>
                <w:lang w:eastAsia="zh-CN"/>
              </w:rPr>
              <w:t>，未扩大药品安全风险；</w:t>
            </w:r>
          </w:p>
          <w:p>
            <w:pPr>
              <w:pStyle w:val="Normal"/>
              <w:keepNext w:val="false"/>
              <w:keepLines w:val="false"/>
              <w:widowControl/>
              <w:spacing w:lineRule="exact" w:line="260"/>
              <w:jc w:val="left"/>
              <w:textAlignment w:val="center"/>
              <w:rPr>
                <w:rFonts w:ascii="仿宋_GB2312" w:hAnsi="仿宋_GB2312" w:eastAsia="仿宋_GB2312" w:cs="仿宋_GB2312"/>
                <w:color w:val="000000"/>
                <w:kern w:val="2"/>
                <w:position w:val="0"/>
                <w:sz w:val="24"/>
                <w:sz w:val="24"/>
                <w:szCs w:val="24"/>
                <w:vertAlign w:val="baseline"/>
                <w:lang w:val="en-US" w:eastAsia="zh-CN" w:bidi="ar-SA"/>
              </w:rPr>
            </w:pP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lang w:val="en-US" w:eastAsia="zh-CN"/>
              </w:rPr>
              <w:t>及时改正</w:t>
            </w:r>
            <w:r>
              <w:rPr>
                <w:rFonts w:ascii="仿宋_GB2312" w:hAnsi="仿宋_GB2312" w:cs="仿宋_GB2312" w:eastAsia="仿宋_GB2312"/>
                <w:color w:val="000000"/>
                <w:sz w:val="24"/>
                <w:szCs w:val="24"/>
                <w:lang w:eastAsia="zh-CN"/>
              </w:rPr>
              <w:t>。</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通过说服教育、警示告诫、指导约谈等措施教育、引导、督促当事人依法依规开展相关活动。</w:t>
            </w:r>
            <w:r>
              <w:rPr>
                <w:rFonts w:eastAsia="仿宋_GB2312" w:cs="仿宋_GB2312" w:ascii="仿宋_GB2312" w:hAnsi="仿宋_GB2312"/>
                <w:color w:val="000000"/>
                <w:sz w:val="24"/>
                <w:szCs w:val="24"/>
                <w:lang w:val="en-US" w:eastAsia="zh-CN"/>
              </w:rPr>
              <w:br/>
              <w:t>2.</w:t>
            </w:r>
            <w:r>
              <w:rPr>
                <w:rFonts w:ascii="仿宋_GB2312" w:hAnsi="仿宋_GB2312" w:cs="仿宋_GB2312" w:eastAsia="仿宋_GB2312"/>
                <w:color w:val="000000"/>
                <w:sz w:val="24"/>
                <w:szCs w:val="24"/>
                <w:lang w:val="en-US" w:eastAsia="zh-CN"/>
              </w:rPr>
              <w:t>拒不改正的，依法处罚。</w:t>
            </w:r>
          </w:p>
        </w:tc>
      </w:tr>
      <w:tr>
        <w:trPr>
          <w:trHeight w:val="1969" w:hRule="atLeast"/>
        </w:trPr>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eastAsia="仿宋_GB2312" w:cs="仿宋_GB2312" w:ascii="仿宋_GB2312" w:hAnsi="仿宋_GB2312"/>
                <w:color w:val="000000"/>
                <w:sz w:val="24"/>
                <w:szCs w:val="24"/>
                <w:lang w:val="en-US" w:eastAsia="zh-CN"/>
              </w:rPr>
              <w:t>4</w:t>
            </w:r>
          </w:p>
        </w:tc>
        <w:tc>
          <w:tcPr>
            <w:tcW w:w="7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jc w:val="center"/>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US" w:eastAsia="zh-CN" w:bidi="ar-SA"/>
              </w:rPr>
            </w:pPr>
            <w:r>
              <w:rPr>
                <w:rFonts w:ascii="仿宋_GB2312" w:hAnsi="仿宋_GB2312" w:cs="仿宋_GB2312" w:eastAsia="仿宋_GB2312"/>
                <w:color w:val="000000"/>
                <w:sz w:val="24"/>
                <w:szCs w:val="24"/>
              </w:rPr>
              <w:t>化妆品生产经营者违反法律、法规、规章、强制性国家标准、技术规范</w:t>
            </w:r>
          </w:p>
        </w:tc>
        <w:tc>
          <w:tcPr>
            <w:tcW w:w="440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spacing w:lineRule="exact" w:line="260"/>
              <w:jc w:val="left"/>
              <w:textAlignment w:val="center"/>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rPr>
              <w:t>《</w:t>
            </w:r>
            <w:r>
              <w:rPr>
                <w:rFonts w:ascii="仿宋_GB2312" w:hAnsi="仿宋_GB2312" w:cs="仿宋_GB2312" w:eastAsia="仿宋_GB2312"/>
                <w:color w:val="000000"/>
                <w:sz w:val="24"/>
                <w:szCs w:val="24"/>
                <w:lang w:val="en-US" w:eastAsia="zh-CN"/>
              </w:rPr>
              <w:t>化妆品生产经营监督管理办法》第六十二条第一款：化妆品生产经营者违反法律、法规、规章、强制性国家标准、技术规范，属于初次违法且危害后果轻微并及时改正的，可以不予行政处罚。</w:t>
            </w:r>
          </w:p>
          <w:p>
            <w:pPr>
              <w:pStyle w:val="Normal"/>
              <w:keepNext w:val="false"/>
              <w:keepLines w:val="false"/>
              <w:widowControl w:val="false"/>
              <w:kinsoku w:val="true"/>
              <w:overflowPunct w:val="true"/>
              <w:autoSpaceDE w:val="true"/>
              <w:bidi w:val="0"/>
              <w:snapToGrid w:val="false"/>
              <w:spacing w:lineRule="exact" w:line="260"/>
              <w:jc w:val="both"/>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《中华人民共和国行政处罚法》第三十三条第一款</w:t>
            </w:r>
          </w:p>
        </w:tc>
        <w:tc>
          <w:tcPr>
            <w:tcW w:w="325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val="en-US" w:eastAsia="zh-CN"/>
              </w:rPr>
            </w:pPr>
            <w:r>
              <w:rPr>
                <w:rFonts w:eastAsia="仿宋_GB2312" w:cs="仿宋_GB2312" w:ascii="仿宋_GB2312" w:hAnsi="仿宋_GB2312"/>
                <w:color w:val="000000"/>
                <w:sz w:val="24"/>
                <w:szCs w:val="24"/>
                <w:lang w:val="en-US" w:eastAsia="zh-CN"/>
              </w:rPr>
              <w:t>1.</w:t>
            </w:r>
            <w:r>
              <w:rPr>
                <w:rFonts w:ascii="仿宋_GB2312" w:hAnsi="仿宋_GB2312" w:cs="仿宋_GB2312" w:eastAsia="仿宋_GB2312"/>
                <w:color w:val="000000"/>
                <w:sz w:val="24"/>
                <w:szCs w:val="24"/>
                <w:lang w:val="en-US" w:eastAsia="zh-CN"/>
              </w:rPr>
              <w:t>首次实施违法行为；</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sz w:val="24"/>
                <w:szCs w:val="24"/>
                <w:lang w:eastAsia="zh-CN"/>
              </w:rPr>
            </w:pPr>
            <w:r>
              <w:rPr>
                <w:rFonts w:eastAsia="仿宋_GB2312" w:cs="仿宋_GB2312" w:ascii="仿宋_GB2312" w:hAnsi="仿宋_GB2312"/>
                <w:color w:val="000000"/>
                <w:sz w:val="24"/>
                <w:szCs w:val="24"/>
                <w:lang w:val="en-US" w:eastAsia="zh-CN"/>
              </w:rPr>
              <w:t>2.</w:t>
            </w:r>
            <w:r>
              <w:rPr>
                <w:rFonts w:ascii="仿宋_GB2312" w:hAnsi="仿宋_GB2312" w:cs="仿宋_GB2312" w:eastAsia="仿宋_GB2312"/>
                <w:color w:val="000000"/>
                <w:sz w:val="24"/>
                <w:szCs w:val="24"/>
              </w:rPr>
              <w:t>危害后果轻微</w:t>
            </w:r>
            <w:r>
              <w:rPr>
                <w:rFonts w:ascii="仿宋_GB2312" w:hAnsi="仿宋_GB2312" w:cs="仿宋_GB2312" w:eastAsia="仿宋_GB2312"/>
                <w:color w:val="000000"/>
                <w:sz w:val="24"/>
                <w:szCs w:val="24"/>
                <w:lang w:eastAsia="zh-CN"/>
              </w:rPr>
              <w:t>，不存在重大化妆品安全风险；</w:t>
            </w:r>
          </w:p>
          <w:p>
            <w:pPr>
              <w:pStyle w:val="Normal"/>
              <w:keepNext w:val="false"/>
              <w:keepLines w:val="false"/>
              <w:widowControl w:val="false"/>
              <w:kinsoku w:val="true"/>
              <w:overflowPunct w:val="true"/>
              <w:autoSpaceDE w:val="true"/>
              <w:bidi w:val="0"/>
              <w:snapToGrid w:val="false"/>
              <w:spacing w:lineRule="exact" w:line="260"/>
              <w:textAlignment w:val="auto"/>
              <w:rPr>
                <w:rFonts w:ascii="仿宋_GB2312" w:hAnsi="仿宋_GB2312" w:eastAsia="仿宋_GB2312" w:cs="仿宋_GB2312"/>
                <w:color w:val="000000"/>
                <w:kern w:val="2"/>
                <w:sz w:val="24"/>
                <w:szCs w:val="24"/>
                <w:lang w:val="en-US" w:eastAsia="zh-CN" w:bidi="ar-SA"/>
              </w:rPr>
            </w:pPr>
            <w:r>
              <w:rPr>
                <w:rFonts w:eastAsia="仿宋_GB2312" w:cs="仿宋_GB2312" w:ascii="仿宋_GB2312" w:hAnsi="仿宋_GB2312"/>
                <w:color w:val="000000"/>
                <w:sz w:val="24"/>
                <w:szCs w:val="24"/>
                <w:lang w:val="en-US" w:eastAsia="zh-CN"/>
              </w:rPr>
              <w:t>3.</w:t>
            </w:r>
            <w:r>
              <w:rPr>
                <w:rFonts w:ascii="仿宋_GB2312" w:hAnsi="仿宋_GB2312" w:cs="仿宋_GB2312" w:eastAsia="仿宋_GB2312"/>
                <w:color w:val="000000"/>
                <w:sz w:val="24"/>
                <w:szCs w:val="24"/>
                <w:lang w:val="en-US" w:eastAsia="zh-CN"/>
              </w:rPr>
              <w:t>及时改正</w:t>
            </w:r>
            <w:r>
              <w:rPr>
                <w:rFonts w:ascii="仿宋_GB2312" w:hAnsi="仿宋_GB2312" w:cs="仿宋_GB2312" w:eastAsia="仿宋_GB2312"/>
                <w:color w:val="000000"/>
                <w:sz w:val="24"/>
                <w:szCs w:val="24"/>
              </w:rPr>
              <w:t>。</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spacing w:lineRule="exact" w:line="26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eastAsia="仿宋_GB2312" w:cs="仿宋_GB2312" w:ascii="仿宋_GB2312" w:hAnsi="仿宋_GB2312"/>
                <w:i w:val="false"/>
                <w:color w:val="000000"/>
                <w:spacing w:val="-17"/>
                <w:kern w:val="0"/>
                <w:sz w:val="24"/>
                <w:szCs w:val="24"/>
                <w:u w:val="none"/>
                <w:lang w:val="en-US" w:eastAsia="zh-CN" w:bidi="ar"/>
              </w:rPr>
              <w:t>1.</w:t>
            </w:r>
            <w:r>
              <w:rPr>
                <w:rFonts w:ascii="仿宋_GB2312" w:hAnsi="仿宋_GB2312" w:cs="仿宋_GB2312" w:eastAsia="仿宋_GB2312"/>
                <w:i w:val="false"/>
                <w:color w:val="000000"/>
                <w:spacing w:val="-17"/>
                <w:kern w:val="0"/>
                <w:sz w:val="24"/>
                <w:szCs w:val="24"/>
                <w:u w:val="none"/>
                <w:lang w:val="en-US" w:eastAsia="zh-CN" w:bidi="ar"/>
              </w:rPr>
              <w:t>通过说服教育、警示告诫、指导约谈等措施教育、引导、督促当事人依法依规开展相关活动。</w:t>
            </w:r>
            <w:r>
              <w:rPr>
                <w:rFonts w:eastAsia="仿宋_GB2312" w:cs="仿宋_GB2312" w:ascii="仿宋_GB2312" w:hAnsi="仿宋_GB2312"/>
                <w:i w:val="false"/>
                <w:color w:val="000000"/>
                <w:kern w:val="0"/>
                <w:sz w:val="24"/>
                <w:szCs w:val="24"/>
                <w:u w:val="none"/>
                <w:lang w:val="en-US" w:eastAsia="zh-CN" w:bidi="ar"/>
              </w:rPr>
              <w:br/>
            </w:r>
            <w:r>
              <w:rPr>
                <w:rFonts w:eastAsia="仿宋_GB2312" w:cs="仿宋_GB2312" w:ascii="仿宋_GB2312" w:hAnsi="仿宋_GB2312"/>
                <w:i w:val="false"/>
                <w:color w:val="000000"/>
                <w:spacing w:val="-11"/>
                <w:kern w:val="0"/>
                <w:sz w:val="24"/>
                <w:szCs w:val="24"/>
                <w:u w:val="none"/>
                <w:lang w:val="en-US" w:eastAsia="zh-CN" w:bidi="ar"/>
              </w:rPr>
              <w:t>2.</w:t>
            </w:r>
            <w:r>
              <w:rPr>
                <w:rFonts w:ascii="仿宋_GB2312" w:hAnsi="仿宋_GB2312" w:cs="仿宋_GB2312" w:eastAsia="仿宋_GB2312"/>
                <w:i w:val="false"/>
                <w:color w:val="000000"/>
                <w:spacing w:val="-11"/>
                <w:kern w:val="0"/>
                <w:sz w:val="24"/>
                <w:szCs w:val="24"/>
                <w:u w:val="none"/>
                <w:lang w:val="en-US" w:eastAsia="zh-CN" w:bidi="ar"/>
              </w:rPr>
              <w:t>未及时改正的，依法处罚。</w:t>
            </w:r>
          </w:p>
        </w:tc>
      </w:tr>
      <w:tr>
        <w:trPr>
          <w:trHeight w:val="393" w:hRule="atLeast"/>
        </w:trPr>
        <w:tc>
          <w:tcPr>
            <w:tcW w:w="13818" w:type="dxa"/>
            <w:gridSpan w:val="6"/>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spacing w:lineRule="exact" w:line="260"/>
              <w:ind w:firstLine="480"/>
              <w:jc w:val="left"/>
              <w:textAlignment w:val="center"/>
              <w:rPr>
                <w:rFonts w:ascii="仿宋_GB2312" w:hAnsi="仿宋_GB2312" w:eastAsia="仿宋_GB2312" w:cs="仿宋_GB2312"/>
                <w:i w:val="false"/>
                <w:i w:val="false"/>
                <w:color w:val="000000"/>
                <w:kern w:val="0"/>
                <w:sz w:val="24"/>
                <w:szCs w:val="24"/>
                <w:u w:val="none"/>
                <w:lang w:val="en-US" w:eastAsia="zh-CN" w:bidi="ar"/>
              </w:rPr>
            </w:pPr>
            <w:r>
              <w:rPr>
                <w:rFonts w:ascii="仿宋_GB2312" w:hAnsi="仿宋_GB2312" w:cs="仿宋_GB2312" w:eastAsia="仿宋_GB2312"/>
                <w:i w:val="false"/>
                <w:color w:val="000000"/>
                <w:kern w:val="0"/>
                <w:sz w:val="24"/>
                <w:szCs w:val="24"/>
                <w:u w:val="none"/>
                <w:lang w:val="en-US" w:eastAsia="zh-CN" w:bidi="ar"/>
              </w:rPr>
              <w:t>备注：本清单“不予处罚适用条件”所列的各项情形应当同时具备。</w:t>
            </w:r>
          </w:p>
        </w:tc>
      </w:tr>
    </w:tbl>
    <w:p>
      <w:pPr>
        <w:pStyle w:val="Normal"/>
        <w:rPr/>
      </w:pPr>
      <w:r>
        <w:rPr/>
      </w:r>
    </w:p>
    <w:sectPr>
      <w:type w:val="nextPage"/>
      <w:pgSz w:orient="landscape" w:w="16838" w:h="11906"/>
      <w:pgMar w:left="1440" w:right="1440" w:gutter="0" w:header="0" w:top="1800" w:footer="0" w:bottom="180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altName w:val="DejaVu Sans"/>
    <w:charset w:val="00"/>
    <w:family w:val="swiss"/>
    <w:pitch w:val="default"/>
  </w:font>
  <w:font w:name="Liberation Sans">
    <w:altName w:val="Arial"/>
    <w:charset w:val="01"/>
    <w:family w:val="swiss"/>
    <w:pitch w:val="variable"/>
  </w:font>
  <w:font w:name="CESI仿宋-GB18030">
    <w:charset w:val="86"/>
    <w:family w:val="auto"/>
    <w:pitch w:val="default"/>
  </w:font>
  <w:font w:name="方正小标宋简体">
    <w:charset w:val="86"/>
    <w:family w:val="auto"/>
    <w:pitch w:val="default"/>
  </w:font>
  <w:font w:name="仿宋_GB2312">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lvl>
  </w:abstractNum>
  <w:abstractNum w:abstractNumId="2">
    <w:lvl w:ilvl="0">
      <w:start w:val="8"/>
      <w:numFmt w:val="chineseCountingThousand"/>
      <w:suff w:val="nothing"/>
      <w:lvlText w:val="（%1）"/>
      <w:lvlJc w:val="left"/>
      <w:pPr>
        <w:tabs>
          <w:tab w:val="num" w:pos="0"/>
        </w:tabs>
        <w:ind w:left="205"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DejaVu Sans" w:hAnsi="Calibri;DejaVu Sans" w:eastAsia="宋体;方正书宋_GBK" w:cs="Times New Roman;DejaVu Sans"/>
      <w:color w:val="auto"/>
      <w:kern w:val="2"/>
      <w:sz w:val="21"/>
      <w:szCs w:val="24"/>
      <w:lang w:val="en-US" w:eastAsia="zh-CN" w:bidi="ar-SA"/>
    </w:rPr>
  </w:style>
  <w:style w:type="character" w:styleId="WW8Num2z0">
    <w:name w:val="WW8Num2z0"/>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left"/>
    </w:pPr>
    <w:rPr>
      <w:rFonts w:eastAsia="仿宋_GB2312"/>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LibreOffice/7.3.7.2$Linux_X86_64 LibreOffice_project/30$Build-2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2026-08-06T17:34:00Z</dcterms:created>
  <dc:creator>yjj</dc:creator>
  <dc:description/>
  <dc:language>en-US</dc:language>
  <cp:lastModifiedBy>yjj</cp:lastModifiedBy>
  <dcterms:modified xsi:type="dcterms:W3CDTF">2026-08-06T17:36:14Z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