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方正公文小标宋;CESI小标宋-GB13000" w:hAnsi="方正公文小标宋;CESI小标宋-GB13000" w:eastAsia="方正公文小标宋;CESI小标宋-GB13000" w:cs="方正公文小标宋;CESI小标宋-GB13000"/>
          <w:kern w:val="0"/>
          <w:sz w:val="44"/>
          <w:szCs w:val="44"/>
        </w:rPr>
      </w:pPr>
      <w:r>
        <w:rPr>
          <w:rFonts w:ascii="黑体;方正黑体_GBK" w:hAnsi="黑体;方正黑体_GBK" w:cs="黑体;方正黑体_GBK" w:eastAsia="黑体;方正黑体_GBK"/>
          <w:kern w:val="0"/>
          <w:sz w:val="32"/>
          <w:szCs w:val="32"/>
        </w:rPr>
        <w:t>附件：</w:t>
      </w:r>
    </w:p>
    <w:p>
      <w:pPr>
        <w:pStyle w:val="Normal"/>
        <w:jc w:val="center"/>
        <w:rPr>
          <w:rFonts w:ascii="方正公文小标宋;CESI小标宋-GB13000" w:hAnsi="方正公文小标宋;CESI小标宋-GB13000" w:eastAsia="方正公文小标宋;CESI小标宋-GB13000" w:cs="方正公文小标宋;CESI小标宋-GB13000"/>
          <w:sz w:val="44"/>
          <w:szCs w:val="44"/>
        </w:rPr>
      </w:pPr>
      <w:r>
        <w:rPr>
          <w:rFonts w:ascii="方正公文小标宋;CESI小标宋-GB13000" w:hAnsi="方正公文小标宋;CESI小标宋-GB13000" w:cs="方正公文小标宋;CESI小标宋-GB13000" w:eastAsia="方正公文小标宋;CESI小标宋-GB13000"/>
          <w:kern w:val="0"/>
          <w:sz w:val="44"/>
          <w:szCs w:val="44"/>
        </w:rPr>
        <w:t>普通化妆品备案资料自查表（模版）</w:t>
      </w:r>
    </w:p>
    <w:p>
      <w:pPr>
        <w:pStyle w:val="Normal"/>
        <w:rPr>
          <w:rFonts w:ascii="方正公文小标宋;CESI小标宋-GB13000" w:hAnsi="方正公文小标宋;CESI小标宋-GB13000" w:eastAsia="方正公文小标宋;CESI小标宋-GB13000" w:cs="方正公文小标宋;CESI小标宋-GB13000"/>
          <w:sz w:val="44"/>
          <w:szCs w:val="44"/>
        </w:rPr>
      </w:pPr>
      <w:r>
        <w:rPr>
          <w:rFonts w:eastAsia="方正公文小标宋;CESI小标宋-GB13000" w:cs="方正公文小标宋;CESI小标宋-GB13000" w:ascii="方正公文小标宋;CESI小标宋-GB13000" w:hAnsi="方正公文小标宋;CESI小标宋-GB13000"/>
          <w:sz w:val="44"/>
          <w:szCs w:val="44"/>
        </w:rPr>
      </w:r>
    </w:p>
    <w:tbl>
      <w:tblPr>
        <w:tblW w:w="21283" w:type="dxa"/>
        <w:jc w:val="center"/>
        <w:tblInd w:w="0" w:type="dxa"/>
        <w:tblLayout w:type="fixed"/>
        <w:tblCellMar>
          <w:top w:w="0" w:type="dxa"/>
          <w:left w:w="108" w:type="dxa"/>
          <w:bottom w:w="0" w:type="dxa"/>
          <w:right w:w="108" w:type="dxa"/>
        </w:tblCellMar>
      </w:tblPr>
      <w:tblGrid>
        <w:gridCol w:w="790"/>
        <w:gridCol w:w="2239"/>
        <w:gridCol w:w="15026"/>
        <w:gridCol w:w="2378"/>
        <w:gridCol w:w="850"/>
      </w:tblGrid>
      <w:tr>
        <w:trPr>
          <w:trHeight w:val="473" w:hRule="atLeast"/>
        </w:trPr>
        <w:tc>
          <w:tcPr>
            <w:tcW w:w="790"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360"/>
              <w:jc w:val="center"/>
              <w:rPr>
                <w:rFonts w:ascii="黑体;方正黑体_GBK" w:hAnsi="黑体;方正黑体_GBK" w:eastAsia="黑体;方正黑体_GBK" w:cs="黑体;方正黑体_GBK"/>
                <w:sz w:val="28"/>
                <w:szCs w:val="28"/>
              </w:rPr>
            </w:pPr>
            <w:r>
              <w:rPr>
                <w:rFonts w:ascii="黑体;方正黑体_GBK" w:hAnsi="黑体;方正黑体_GBK" w:cs="黑体;方正黑体_GBK" w:eastAsia="黑体;方正黑体_GBK"/>
                <w:sz w:val="28"/>
                <w:szCs w:val="28"/>
              </w:rPr>
              <w:t>序号</w:t>
            </w:r>
          </w:p>
        </w:tc>
        <w:tc>
          <w:tcPr>
            <w:tcW w:w="2239"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360"/>
              <w:jc w:val="center"/>
              <w:rPr>
                <w:rFonts w:ascii="黑体;方正黑体_GBK" w:hAnsi="黑体;方正黑体_GBK" w:eastAsia="黑体;方正黑体_GBK" w:cs="黑体;方正黑体_GBK"/>
                <w:sz w:val="28"/>
                <w:szCs w:val="28"/>
                <w:lang w:val="en-US" w:eastAsia="zh-CN"/>
              </w:rPr>
            </w:pPr>
            <w:r>
              <w:rPr>
                <w:rFonts w:ascii="黑体;方正黑体_GBK" w:hAnsi="黑体;方正黑体_GBK" w:cs="黑体;方正黑体_GBK" w:eastAsia="黑体;方正黑体_GBK"/>
                <w:sz w:val="28"/>
                <w:szCs w:val="28"/>
                <w:lang w:val="en-US" w:eastAsia="zh-CN"/>
              </w:rPr>
              <w:t>自查内容</w:t>
            </w:r>
          </w:p>
        </w:tc>
        <w:tc>
          <w:tcPr>
            <w:tcW w:w="15026"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360"/>
              <w:jc w:val="center"/>
              <w:rPr>
                <w:rFonts w:ascii="黑体;方正黑体_GBK" w:hAnsi="黑体;方正黑体_GBK" w:eastAsia="黑体;方正黑体_GBK" w:cs="黑体;方正黑体_GBK"/>
                <w:sz w:val="28"/>
                <w:szCs w:val="28"/>
                <w:lang w:val="en-US" w:eastAsia="zh-CN"/>
              </w:rPr>
            </w:pPr>
            <w:r>
              <w:rPr>
                <w:rFonts w:ascii="黑体;方正黑体_GBK" w:hAnsi="黑体;方正黑体_GBK" w:cs="黑体;方正黑体_GBK" w:eastAsia="黑体;方正黑体_GBK"/>
                <w:sz w:val="28"/>
                <w:szCs w:val="28"/>
              </w:rPr>
              <w:t>自查</w:t>
            </w:r>
            <w:r>
              <w:rPr>
                <w:rFonts w:ascii="黑体;方正黑体_GBK" w:hAnsi="黑体;方正黑体_GBK" w:cs="黑体;方正黑体_GBK" w:eastAsia="黑体;方正黑体_GBK"/>
                <w:sz w:val="28"/>
                <w:szCs w:val="28"/>
                <w:lang w:eastAsia="zh-CN"/>
              </w:rPr>
              <w:t>要点</w:t>
            </w:r>
          </w:p>
        </w:tc>
        <w:tc>
          <w:tcPr>
            <w:tcW w:w="2378"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360"/>
              <w:jc w:val="center"/>
              <w:rPr>
                <w:rFonts w:ascii="仿宋_GB2312;方正仿宋_GBK" w:hAnsi="仿宋_GB2312;方正仿宋_GBK" w:eastAsia="仿宋_GB2312;方正仿宋_GBK" w:cs="仿宋_GB2312;方正仿宋_GBK"/>
                <w:sz w:val="28"/>
                <w:szCs w:val="28"/>
              </w:rPr>
            </w:pPr>
            <w:r>
              <w:rPr>
                <w:rFonts w:ascii="黑体;方正黑体_GBK" w:hAnsi="黑体;方正黑体_GBK" w:cs="黑体;方正黑体_GBK" w:eastAsia="黑体;方正黑体_GBK"/>
                <w:sz w:val="28"/>
                <w:szCs w:val="28"/>
              </w:rPr>
              <w:t>自查结果</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360"/>
              <w:jc w:val="center"/>
              <w:rPr>
                <w:rFonts w:ascii="仿宋_GB2312;方正仿宋_GBK" w:hAnsi="仿宋_GB2312;方正仿宋_GBK" w:eastAsia="仿宋_GB2312;方正仿宋_GBK" w:cs="仿宋_GB2312;方正仿宋_GBK"/>
                <w:sz w:val="28"/>
                <w:szCs w:val="28"/>
              </w:rPr>
            </w:pPr>
            <w:r>
              <w:rPr>
                <w:rFonts w:ascii="黑体;方正黑体_GBK" w:hAnsi="黑体;方正黑体_GBK" w:cs="黑体;方正黑体_GBK" w:eastAsia="黑体;方正黑体_GBK"/>
                <w:sz w:val="28"/>
                <w:szCs w:val="28"/>
              </w:rPr>
              <w:t>备注</w:t>
            </w:r>
          </w:p>
        </w:tc>
      </w:tr>
      <w:tr>
        <w:trPr>
          <w:trHeight w:val="563" w:hRule="atLeast"/>
        </w:trPr>
        <w:tc>
          <w:tcPr>
            <w:tcW w:w="79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exact" w:line="360"/>
              <w:jc w:val="center"/>
              <w:rPr>
                <w:rFonts w:ascii="Arial;DejaVu Sans" w:hAnsi="Arial;DejaVu Sans" w:eastAsia="方正仿宋_GB2312;方正仿宋_GBK" w:cs="仿宋_GB2312;方正仿宋_GBK"/>
                <w:sz w:val="28"/>
                <w:szCs w:val="28"/>
                <w:lang w:eastAsia="zh-CN"/>
              </w:rPr>
            </w:pPr>
            <w:r>
              <w:rPr>
                <w:rFonts w:eastAsia="方正仿宋_GB2312;方正仿宋_GBK" w:cs="仿宋_GB2312;方正仿宋_GBK" w:ascii="Arial;DejaVu Sans" w:hAnsi="Arial;DejaVu Sans"/>
                <w:sz w:val="28"/>
                <w:szCs w:val="28"/>
                <w:lang w:val="en-US" w:eastAsia="zh-CN"/>
              </w:rPr>
              <w:t>1</w:t>
            </w:r>
          </w:p>
        </w:tc>
        <w:tc>
          <w:tcPr>
            <w:tcW w:w="223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exact" w:line="360"/>
              <w:jc w:val="center"/>
              <w:rPr>
                <w:rFonts w:ascii="Arial;DejaVu Sans" w:hAnsi="Arial;DejaVu Sans" w:eastAsia="方正仿宋_GB2312;方正仿宋_GBK" w:cs="仿宋_GB2312;方正仿宋_GBK"/>
                <w:sz w:val="28"/>
                <w:szCs w:val="28"/>
              </w:rPr>
            </w:pPr>
            <w:r>
              <w:rPr>
                <w:rFonts w:ascii="Arial;DejaVu Sans" w:hAnsi="Arial;DejaVu Sans" w:cs="仿宋_GB2312;方正仿宋_GBK" w:eastAsia="方正仿宋_GB2312;方正仿宋_GBK"/>
                <w:sz w:val="28"/>
                <w:szCs w:val="28"/>
              </w:rPr>
              <w:t>【备案申请表】</w:t>
            </w:r>
          </w:p>
        </w:tc>
        <w:tc>
          <w:tcPr>
            <w:tcW w:w="15026" w:type="dxa"/>
            <w:tcBorders>
              <w:top w:val="single" w:sz="4" w:space="0" w:color="000000"/>
              <w:left w:val="single" w:sz="4" w:space="0" w:color="000000"/>
              <w:bottom w:val="single" w:sz="4" w:space="0" w:color="000000"/>
              <w:right w:val="single" w:sz="4" w:space="0" w:color="000000"/>
            </w:tcBorders>
          </w:tcPr>
          <w:p>
            <w:pPr>
              <w:pStyle w:val="Normal"/>
              <w:numPr>
                <w:ilvl w:val="0"/>
                <w:numId w:val="0"/>
              </w:numPr>
              <w:overflowPunct w:val="false"/>
              <w:spacing w:lineRule="exact" w:line="520"/>
              <w:ind w:left="0" w:hanging="0"/>
              <w:rPr>
                <w:rFonts w:ascii="仿宋;CESI仿宋-GB13000" w:hAnsi="仿宋;CESI仿宋-GB13000" w:eastAsia="仿宋;CESI仿宋-GB13000" w:cs="仿宋;CESI仿宋-GB13000"/>
                <w:sz w:val="28"/>
                <w:szCs w:val="28"/>
              </w:rPr>
            </w:pPr>
            <w:r>
              <w:rPr>
                <w:rFonts w:eastAsia="仿宋;CESI仿宋-GB13000" w:cs="仿宋;CESI仿宋-GB13000" w:ascii="仿宋;CESI仿宋-GB13000" w:hAnsi="仿宋;CESI仿宋-GB13000"/>
                <w:sz w:val="28"/>
                <w:szCs w:val="28"/>
                <w:lang w:val="en-US" w:eastAsia="zh-CN"/>
              </w:rPr>
              <w:t>1</w:t>
            </w:r>
            <w:r>
              <w:rPr>
                <w:rFonts w:eastAsia="仿宋;CESI仿宋-GB13000" w:cs="仿宋;CESI仿宋-GB13000" w:ascii="仿宋;CESI仿宋-GB13000" w:hAnsi="仿宋;CESI仿宋-GB13000"/>
                <w:sz w:val="28"/>
                <w:szCs w:val="28"/>
              </w:rPr>
              <w:t>.</w:t>
            </w:r>
            <w:r>
              <w:rPr>
                <w:rFonts w:ascii="方正仿宋_GBK" w:hAnsi="方正仿宋_GBK" w:cs="方正仿宋_GBK" w:eastAsia="方正仿宋_GBK"/>
                <w:sz w:val="28"/>
                <w:szCs w:val="28"/>
              </w:rPr>
              <w:t>产品分类编码（包括功效宣称、作用部位、产品剂型、适用人群、使用方法）应当根据实际填写，填报内容</w:t>
            </w:r>
            <w:r>
              <w:rPr>
                <w:rFonts w:ascii="方正仿宋_GBK" w:hAnsi="方正仿宋_GBK" w:cs="方正仿宋_GBK" w:eastAsia="方正仿宋_GBK"/>
                <w:sz w:val="28"/>
                <w:szCs w:val="28"/>
              </w:rPr>
              <w:t>准确</w:t>
            </w:r>
            <w:r>
              <w:rPr>
                <w:rFonts w:ascii="方正仿宋_GBK" w:hAnsi="方正仿宋_GBK" w:cs="方正仿宋_GBK" w:eastAsia="方正仿宋_GBK"/>
                <w:sz w:val="28"/>
                <w:szCs w:val="28"/>
              </w:rPr>
              <w:t>、完整。</w:t>
            </w:r>
          </w:p>
        </w:tc>
        <w:tc>
          <w:tcPr>
            <w:tcW w:w="2378"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520"/>
              <w:jc w:val="center"/>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t>□</w:t>
            </w:r>
            <w:r>
              <w:rPr>
                <w:rFonts w:ascii="仿宋_GB2312;方正仿宋_GBK" w:hAnsi="仿宋_GB2312;方正仿宋_GBK" w:cs="仿宋_GB2312;方正仿宋_GBK" w:eastAsia="仿宋_GB2312;方正仿宋_GBK"/>
                <w:sz w:val="28"/>
                <w:szCs w:val="28"/>
              </w:rPr>
              <w:t>符合 □不符合</w:t>
            </w:r>
          </w:p>
        </w:tc>
        <w:tc>
          <w:tcPr>
            <w:tcW w:w="85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360"/>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r>
          </w:p>
        </w:tc>
      </w:tr>
      <w:tr>
        <w:trPr>
          <w:trHeight w:val="344" w:hRule="atLeast"/>
        </w:trPr>
        <w:tc>
          <w:tcPr>
            <w:tcW w:w="79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Arial;DejaVu Sans" w:hAnsi="Arial;DejaVu Sans" w:eastAsia="方正仿宋_GB2312;方正仿宋_GBK" w:cs="仿宋_GB2312;方正仿宋_GBK"/>
                <w:sz w:val="28"/>
                <w:szCs w:val="28"/>
              </w:rPr>
            </w:pPr>
            <w:r>
              <w:rPr>
                <w:rFonts w:eastAsia="方正仿宋_GB2312;方正仿宋_GBK" w:cs="仿宋_GB2312;方正仿宋_GBK" w:ascii="Arial;DejaVu Sans" w:hAnsi="Arial;DejaVu Sans"/>
                <w:sz w:val="28"/>
                <w:szCs w:val="28"/>
              </w:rPr>
            </w:r>
          </w:p>
        </w:tc>
        <w:tc>
          <w:tcPr>
            <w:tcW w:w="223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Arial;DejaVu Sans" w:hAnsi="Arial;DejaVu Sans" w:eastAsia="方正仿宋_GB2312;方正仿宋_GBK" w:cs="仿宋_GB2312;方正仿宋_GBK"/>
                <w:sz w:val="28"/>
                <w:szCs w:val="28"/>
              </w:rPr>
            </w:pPr>
            <w:r>
              <w:rPr>
                <w:rFonts w:eastAsia="方正仿宋_GB2312;方正仿宋_GBK" w:cs="仿宋_GB2312;方正仿宋_GBK" w:ascii="Arial;DejaVu Sans" w:hAnsi="Arial;DejaVu Sans"/>
                <w:sz w:val="28"/>
                <w:szCs w:val="28"/>
              </w:rPr>
            </w:r>
          </w:p>
        </w:tc>
        <w:tc>
          <w:tcPr>
            <w:tcW w:w="15026" w:type="dxa"/>
            <w:tcBorders>
              <w:top w:val="single" w:sz="4" w:space="0" w:color="000000"/>
              <w:left w:val="single" w:sz="4" w:space="0" w:color="000000"/>
              <w:bottom w:val="single" w:sz="4" w:space="0" w:color="000000"/>
              <w:right w:val="single" w:sz="4" w:space="0" w:color="000000"/>
            </w:tcBorders>
          </w:tcPr>
          <w:p>
            <w:pPr>
              <w:pStyle w:val="ListParagraph"/>
              <w:overflowPunct w:val="false"/>
              <w:spacing w:lineRule="exact" w:line="400"/>
              <w:ind w:hanging="0"/>
              <w:rPr>
                <w:rFonts w:ascii="仿宋;CESI仿宋-GB13000" w:hAnsi="仿宋;CESI仿宋-GB13000" w:eastAsia="仿宋;CESI仿宋-GB13000" w:cs="仿宋;CESI仿宋-GB13000"/>
                <w:sz w:val="28"/>
                <w:szCs w:val="28"/>
              </w:rPr>
            </w:pPr>
            <w:r>
              <w:rPr>
                <w:rFonts w:eastAsia="仿宋;CESI仿宋-GB13000" w:cs="仿宋;CESI仿宋-GB13000" w:ascii="仿宋;CESI仿宋-GB13000" w:hAnsi="仿宋;CESI仿宋-GB13000"/>
                <w:sz w:val="28"/>
                <w:szCs w:val="28"/>
              </w:rPr>
              <w:t>2.</w:t>
            </w:r>
            <w:r>
              <w:rPr>
                <w:rFonts w:ascii="仿宋;CESI仿宋-GB13000" w:hAnsi="仿宋;CESI仿宋-GB13000" w:cs="仿宋;CESI仿宋-GB13000" w:eastAsia="仿宋;CESI仿宋-GB13000"/>
                <w:sz w:val="28"/>
                <w:szCs w:val="28"/>
              </w:rPr>
              <w:t>选择的化妆品分类编码中不得有字母，否则应当按特殊化妆品申报，如使用人群选择孕妇（</w:t>
            </w:r>
            <w:r>
              <w:rPr>
                <w:rFonts w:eastAsia="仿宋;CESI仿宋-GB13000" w:cs="仿宋;CESI仿宋-GB13000" w:ascii="仿宋;CESI仿宋-GB13000" w:hAnsi="仿宋;CESI仿宋-GB13000"/>
                <w:sz w:val="28"/>
                <w:szCs w:val="28"/>
              </w:rPr>
              <w:t>C</w:t>
            </w:r>
            <w:r>
              <w:rPr>
                <w:rFonts w:ascii="仿宋;CESI仿宋-GB13000" w:hAnsi="仿宋;CESI仿宋-GB13000" w:cs="仿宋;CESI仿宋-GB13000" w:eastAsia="仿宋;CESI仿宋-GB13000"/>
                <w:sz w:val="28"/>
                <w:szCs w:val="28"/>
              </w:rPr>
              <w:t>）。</w:t>
            </w:r>
          </w:p>
        </w:tc>
        <w:tc>
          <w:tcPr>
            <w:tcW w:w="2378"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520"/>
              <w:jc w:val="center"/>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t>□</w:t>
            </w:r>
            <w:r>
              <w:rPr>
                <w:rFonts w:ascii="仿宋_GB2312;方正仿宋_GBK" w:hAnsi="仿宋_GB2312;方正仿宋_GBK" w:cs="仿宋_GB2312;方正仿宋_GBK" w:eastAsia="仿宋_GB2312;方正仿宋_GBK"/>
                <w:sz w:val="28"/>
                <w:szCs w:val="28"/>
              </w:rPr>
              <w:t>符合 □不符合</w:t>
            </w:r>
          </w:p>
        </w:tc>
        <w:tc>
          <w:tcPr>
            <w:tcW w:w="85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360"/>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r>
          </w:p>
        </w:tc>
      </w:tr>
      <w:tr>
        <w:trPr>
          <w:trHeight w:val="538" w:hRule="atLeast"/>
        </w:trPr>
        <w:tc>
          <w:tcPr>
            <w:tcW w:w="79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方正仿宋_GB2312;方正仿宋_GBK" w:hAnsi="方正仿宋_GB2312;方正仿宋_GBK" w:eastAsia="方正仿宋_GB2312;方正仿宋_GBK" w:cs="方正仿宋_GB2312;方正仿宋_GBK"/>
                <w:sz w:val="28"/>
                <w:szCs w:val="28"/>
              </w:rPr>
            </w:pPr>
            <w:r>
              <w:rPr>
                <w:rFonts w:eastAsia="方正仿宋_GB2312;方正仿宋_GBK" w:cs="方正仿宋_GB2312;方正仿宋_GBK" w:ascii="方正仿宋_GB2312;方正仿宋_GBK" w:hAnsi="方正仿宋_GB2312;方正仿宋_GBK"/>
                <w:sz w:val="28"/>
                <w:szCs w:val="28"/>
              </w:rPr>
            </w:r>
          </w:p>
        </w:tc>
        <w:tc>
          <w:tcPr>
            <w:tcW w:w="223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黑体;方正黑体_GBK" w:hAnsi="黑体;方正黑体_GBK" w:eastAsia="黑体;方正黑体_GBK" w:cs="黑体;方正黑体_GBK"/>
                <w:kern w:val="0"/>
                <w:sz w:val="28"/>
                <w:szCs w:val="28"/>
              </w:rPr>
            </w:pPr>
            <w:r>
              <w:rPr>
                <w:rFonts w:eastAsia="黑体;方正黑体_GBK" w:cs="黑体;方正黑体_GBK" w:ascii="黑体;方正黑体_GBK" w:hAnsi="黑体;方正黑体_GBK"/>
                <w:kern w:val="0"/>
                <w:sz w:val="28"/>
                <w:szCs w:val="28"/>
              </w:rPr>
            </w:r>
          </w:p>
        </w:tc>
        <w:tc>
          <w:tcPr>
            <w:tcW w:w="15026" w:type="dxa"/>
            <w:tcBorders>
              <w:top w:val="single" w:sz="4" w:space="0" w:color="000000"/>
              <w:left w:val="single" w:sz="4" w:space="0" w:color="000000"/>
              <w:bottom w:val="single" w:sz="4" w:space="0" w:color="000000"/>
              <w:right w:val="single" w:sz="4" w:space="0" w:color="000000"/>
            </w:tcBorders>
          </w:tcPr>
          <w:p>
            <w:pPr>
              <w:pStyle w:val="ListParagraph"/>
              <w:overflowPunct w:val="false"/>
              <w:spacing w:lineRule="exact" w:line="400"/>
              <w:ind w:hanging="0"/>
              <w:rPr>
                <w:rFonts w:ascii="仿宋;CESI仿宋-GB13000" w:hAnsi="仿宋;CESI仿宋-GB13000" w:eastAsia="仿宋;CESI仿宋-GB13000" w:cs="仿宋;CESI仿宋-GB13000"/>
                <w:sz w:val="28"/>
                <w:szCs w:val="28"/>
              </w:rPr>
            </w:pPr>
            <w:r>
              <w:rPr>
                <w:rFonts w:eastAsia="仿宋;CESI仿宋-GB13000" w:cs="仿宋;CESI仿宋-GB13000" w:ascii="仿宋;CESI仿宋-GB13000" w:hAnsi="仿宋;CESI仿宋-GB13000"/>
                <w:sz w:val="28"/>
                <w:szCs w:val="28"/>
              </w:rPr>
              <w:t>3</w:t>
            </w:r>
            <w:r>
              <w:rPr>
                <w:rFonts w:eastAsia="仿宋;CESI仿宋-GB13000" w:cs="仿宋;CESI仿宋-GB13000" w:ascii="仿宋;CESI仿宋-GB13000" w:hAnsi="仿宋;CESI仿宋-GB13000"/>
                <w:sz w:val="28"/>
                <w:szCs w:val="28"/>
              </w:rPr>
              <w:t>.</w:t>
            </w:r>
            <w:r>
              <w:rPr>
                <w:rFonts w:ascii="仿宋;CESI仿宋-GB13000" w:hAnsi="仿宋;CESI仿宋-GB13000" w:cs="仿宋;CESI仿宋-GB13000" w:eastAsia="仿宋;CESI仿宋-GB13000"/>
                <w:sz w:val="28"/>
                <w:szCs w:val="28"/>
              </w:rPr>
              <w:t>同一产品宣称多个功效的，填写功效宣称、使用部位、产品剂型、使用人群等分类时，应当根据产品实际功效、使用部位、产品剂型、使用人群，应当在对应栏目中填写所有的功效、使用部位、剂型和使用人群，不得漏选、错选。</w:t>
            </w:r>
          </w:p>
        </w:tc>
        <w:tc>
          <w:tcPr>
            <w:tcW w:w="2378"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520"/>
              <w:jc w:val="center"/>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t>□</w:t>
            </w:r>
            <w:r>
              <w:rPr>
                <w:rFonts w:ascii="仿宋_GB2312;方正仿宋_GBK" w:hAnsi="仿宋_GB2312;方正仿宋_GBK" w:cs="仿宋_GB2312;方正仿宋_GBK" w:eastAsia="仿宋_GB2312;方正仿宋_GBK"/>
                <w:sz w:val="28"/>
                <w:szCs w:val="28"/>
              </w:rPr>
              <w:t>符合 □不符合</w:t>
            </w:r>
          </w:p>
        </w:tc>
        <w:tc>
          <w:tcPr>
            <w:tcW w:w="85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360"/>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r>
          </w:p>
        </w:tc>
      </w:tr>
      <w:tr>
        <w:trPr>
          <w:trHeight w:val="788" w:hRule="atLeast"/>
        </w:trPr>
        <w:tc>
          <w:tcPr>
            <w:tcW w:w="79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方正仿宋_GB2312;方正仿宋_GBK" w:hAnsi="方正仿宋_GB2312;方正仿宋_GBK" w:eastAsia="方正仿宋_GB2312;方正仿宋_GBK" w:cs="方正仿宋_GB2312;方正仿宋_GBK"/>
                <w:sz w:val="28"/>
                <w:szCs w:val="28"/>
              </w:rPr>
            </w:pPr>
            <w:r>
              <w:rPr>
                <w:rFonts w:eastAsia="方正仿宋_GB2312;方正仿宋_GBK" w:cs="方正仿宋_GB2312;方正仿宋_GBK" w:ascii="方正仿宋_GB2312;方正仿宋_GBK" w:hAnsi="方正仿宋_GB2312;方正仿宋_GBK"/>
                <w:sz w:val="28"/>
                <w:szCs w:val="28"/>
              </w:rPr>
            </w:r>
          </w:p>
        </w:tc>
        <w:tc>
          <w:tcPr>
            <w:tcW w:w="223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黑体;方正黑体_GBK" w:hAnsi="黑体;方正黑体_GBK" w:eastAsia="黑体;方正黑体_GBK" w:cs="黑体;方正黑体_GBK"/>
                <w:kern w:val="0"/>
                <w:sz w:val="28"/>
                <w:szCs w:val="28"/>
              </w:rPr>
            </w:pPr>
            <w:r>
              <w:rPr>
                <w:rFonts w:eastAsia="黑体;方正黑体_GBK" w:cs="黑体;方正黑体_GBK" w:ascii="黑体;方正黑体_GBK" w:hAnsi="黑体;方正黑体_GBK"/>
                <w:kern w:val="0"/>
                <w:sz w:val="28"/>
                <w:szCs w:val="28"/>
              </w:rPr>
            </w:r>
          </w:p>
        </w:tc>
        <w:tc>
          <w:tcPr>
            <w:tcW w:w="15026" w:type="dxa"/>
            <w:tcBorders>
              <w:top w:val="single" w:sz="4" w:space="0" w:color="000000"/>
              <w:left w:val="single" w:sz="4" w:space="0" w:color="000000"/>
              <w:bottom w:val="single" w:sz="4" w:space="0" w:color="000000"/>
              <w:right w:val="single" w:sz="4" w:space="0" w:color="000000"/>
            </w:tcBorders>
          </w:tcPr>
          <w:p>
            <w:pPr>
              <w:pStyle w:val="ListParagraph"/>
              <w:overflowPunct w:val="false"/>
              <w:spacing w:lineRule="exact" w:line="400"/>
              <w:ind w:hanging="0"/>
              <w:rPr>
                <w:rFonts w:ascii="仿宋;CESI仿宋-GB13000" w:hAnsi="仿宋;CESI仿宋-GB13000" w:eastAsia="仿宋;CESI仿宋-GB13000" w:cs="仿宋;CESI仿宋-GB13000"/>
                <w:sz w:val="28"/>
                <w:szCs w:val="28"/>
              </w:rPr>
            </w:pPr>
            <w:r>
              <w:rPr>
                <w:rFonts w:eastAsia="仿宋;CESI仿宋-GB13000" w:cs="仿宋;CESI仿宋-GB13000" w:ascii="仿宋;CESI仿宋-GB13000" w:hAnsi="仿宋;CESI仿宋-GB13000"/>
                <w:sz w:val="28"/>
                <w:szCs w:val="28"/>
              </w:rPr>
              <w:t>4</w:t>
            </w:r>
            <w:r>
              <w:rPr>
                <w:rFonts w:eastAsia="仿宋;CESI仿宋-GB13000" w:cs="仿宋;CESI仿宋-GB13000" w:ascii="仿宋;CESI仿宋-GB13000" w:hAnsi="仿宋;CESI仿宋-GB13000"/>
                <w:sz w:val="28"/>
                <w:szCs w:val="28"/>
              </w:rPr>
              <w:t>.</w:t>
            </w:r>
            <w:r>
              <w:rPr>
                <w:rFonts w:ascii="仿宋;CESI仿宋-GB13000" w:hAnsi="仿宋;CESI仿宋-GB13000" w:cs="仿宋;CESI仿宋-GB13000" w:eastAsia="仿宋;CESI仿宋-GB13000"/>
                <w:sz w:val="28"/>
                <w:szCs w:val="28"/>
              </w:rPr>
              <w:t>产品宣称</w:t>
            </w:r>
            <w:r>
              <w:rPr>
                <w:rFonts w:eastAsia="仿宋;CESI仿宋-GB13000" w:cs="仿宋;CESI仿宋-GB13000" w:ascii="仿宋;CESI仿宋-GB13000" w:hAnsi="仿宋;CESI仿宋-GB13000"/>
                <w:sz w:val="28"/>
                <w:szCs w:val="28"/>
              </w:rPr>
              <w:t>3</w:t>
            </w:r>
            <w:r>
              <w:rPr>
                <w:rFonts w:ascii="仿宋;CESI仿宋-GB13000" w:hAnsi="仿宋;CESI仿宋-GB13000" w:cs="仿宋;CESI仿宋-GB13000" w:eastAsia="仿宋;CESI仿宋-GB13000"/>
                <w:sz w:val="28"/>
                <w:szCs w:val="28"/>
              </w:rPr>
              <w:t>岁以下婴幼儿可以使用，应当选择“婴幼儿”，不得选择“儿童”。</w:t>
            </w:r>
            <w:r>
              <w:rPr>
                <w:rFonts w:eastAsia="仿宋;CESI仿宋-GB13000" w:cs="仿宋;CESI仿宋-GB13000" w:ascii="仿宋;CESI仿宋-GB13000" w:hAnsi="仿宋;CESI仿宋-GB13000"/>
                <w:sz w:val="28"/>
                <w:szCs w:val="28"/>
              </w:rPr>
              <w:t>3</w:t>
            </w:r>
            <w:r>
              <w:rPr>
                <w:rFonts w:ascii="仿宋;CESI仿宋-GB13000" w:hAnsi="仿宋;CESI仿宋-GB13000" w:cs="仿宋;CESI仿宋-GB13000" w:eastAsia="仿宋;CESI仿宋-GB13000"/>
                <w:sz w:val="28"/>
                <w:szCs w:val="28"/>
              </w:rPr>
              <w:t>岁以下婴幼儿产品功效宣称范围仅限于清洁、保湿、护发、防晒、舒缓、爽身。若宣称全家均可使用，使用人群应当包含“儿童、婴幼儿”。</w:t>
            </w:r>
          </w:p>
        </w:tc>
        <w:tc>
          <w:tcPr>
            <w:tcW w:w="2378"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520"/>
              <w:jc w:val="center"/>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t>□</w:t>
            </w:r>
            <w:r>
              <w:rPr>
                <w:rFonts w:ascii="仿宋_GB2312;方正仿宋_GBK" w:hAnsi="仿宋_GB2312;方正仿宋_GBK" w:cs="仿宋_GB2312;方正仿宋_GBK" w:eastAsia="仿宋_GB2312;方正仿宋_GBK"/>
                <w:sz w:val="28"/>
                <w:szCs w:val="28"/>
              </w:rPr>
              <w:t>符合 □不符合</w:t>
            </w:r>
          </w:p>
        </w:tc>
        <w:tc>
          <w:tcPr>
            <w:tcW w:w="85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360"/>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r>
          </w:p>
        </w:tc>
      </w:tr>
      <w:tr>
        <w:trPr>
          <w:trHeight w:val="488" w:hRule="atLeast"/>
        </w:trPr>
        <w:tc>
          <w:tcPr>
            <w:tcW w:w="79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方正仿宋_GB2312;方正仿宋_GBK" w:hAnsi="方正仿宋_GB2312;方正仿宋_GBK" w:eastAsia="方正仿宋_GB2312;方正仿宋_GBK" w:cs="方正仿宋_GB2312;方正仿宋_GBK"/>
                <w:sz w:val="28"/>
                <w:szCs w:val="28"/>
              </w:rPr>
            </w:pPr>
            <w:r>
              <w:rPr>
                <w:rFonts w:eastAsia="方正仿宋_GB2312;方正仿宋_GBK" w:cs="方正仿宋_GB2312;方正仿宋_GBK" w:ascii="方正仿宋_GB2312;方正仿宋_GBK" w:hAnsi="方正仿宋_GB2312;方正仿宋_GBK"/>
                <w:sz w:val="28"/>
                <w:szCs w:val="28"/>
              </w:rPr>
            </w:r>
          </w:p>
        </w:tc>
        <w:tc>
          <w:tcPr>
            <w:tcW w:w="223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黑体;方正黑体_GBK" w:hAnsi="黑体;方正黑体_GBK" w:eastAsia="黑体;方正黑体_GBK" w:cs="黑体;方正黑体_GBK"/>
                <w:kern w:val="0"/>
                <w:sz w:val="28"/>
                <w:szCs w:val="28"/>
              </w:rPr>
            </w:pPr>
            <w:r>
              <w:rPr>
                <w:rFonts w:eastAsia="黑体;方正黑体_GBK" w:cs="黑体;方正黑体_GBK" w:ascii="黑体;方正黑体_GBK" w:hAnsi="黑体;方正黑体_GBK"/>
                <w:kern w:val="0"/>
                <w:sz w:val="28"/>
                <w:szCs w:val="28"/>
              </w:rPr>
            </w:r>
          </w:p>
        </w:tc>
        <w:tc>
          <w:tcPr>
            <w:tcW w:w="15026" w:type="dxa"/>
            <w:tcBorders>
              <w:top w:val="single" w:sz="4" w:space="0" w:color="000000"/>
              <w:left w:val="single" w:sz="4" w:space="0" w:color="000000"/>
              <w:bottom w:val="single" w:sz="4" w:space="0" w:color="000000"/>
              <w:right w:val="single" w:sz="4" w:space="0" w:color="000000"/>
            </w:tcBorders>
          </w:tcPr>
          <w:p>
            <w:pPr>
              <w:pStyle w:val="ListParagraph"/>
              <w:overflowPunct w:val="false"/>
              <w:snapToGrid w:val="false"/>
              <w:spacing w:lineRule="exact" w:line="400"/>
              <w:ind w:hanging="0"/>
              <w:rPr>
                <w:rFonts w:ascii="仿宋;CESI仿宋-GB13000" w:hAnsi="仿宋;CESI仿宋-GB13000" w:eastAsia="仿宋;CESI仿宋-GB13000" w:cs="仿宋;CESI仿宋-GB13000"/>
                <w:sz w:val="28"/>
                <w:szCs w:val="28"/>
              </w:rPr>
            </w:pPr>
            <w:r>
              <w:rPr>
                <w:rFonts w:eastAsia="仿宋;CESI仿宋-GB13000" w:cs="仿宋;CESI仿宋-GB13000" w:ascii="仿宋;CESI仿宋-GB13000" w:hAnsi="仿宋;CESI仿宋-GB13000"/>
                <w:sz w:val="28"/>
                <w:szCs w:val="28"/>
              </w:rPr>
              <w:t>5</w:t>
            </w:r>
            <w:r>
              <w:rPr>
                <w:rFonts w:eastAsia="仿宋;CESI仿宋-GB13000" w:cs="仿宋;CESI仿宋-GB13000" w:ascii="仿宋;CESI仿宋-GB13000" w:hAnsi="仿宋;CESI仿宋-GB13000"/>
                <w:sz w:val="28"/>
                <w:szCs w:val="28"/>
              </w:rPr>
              <w:t>.</w:t>
            </w:r>
            <w:r>
              <w:rPr>
                <w:rFonts w:ascii="仿宋;CESI仿宋-GB13000" w:hAnsi="仿宋;CESI仿宋-GB13000" w:cs="仿宋;CESI仿宋-GB13000" w:eastAsia="仿宋;CESI仿宋-GB13000"/>
                <w:sz w:val="28"/>
                <w:szCs w:val="28"/>
              </w:rPr>
              <w:t>委托境内企业生产”品种上传的委托关系文件，应当注意委托双方名称、地址、产品信息应当与备案相关内容一致。</w:t>
            </w:r>
          </w:p>
        </w:tc>
        <w:tc>
          <w:tcPr>
            <w:tcW w:w="2378"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520"/>
              <w:jc w:val="center"/>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t>□</w:t>
            </w:r>
            <w:r>
              <w:rPr>
                <w:rFonts w:ascii="仿宋_GB2312;方正仿宋_GBK" w:hAnsi="仿宋_GB2312;方正仿宋_GBK" w:cs="仿宋_GB2312;方正仿宋_GBK" w:eastAsia="仿宋_GB2312;方正仿宋_GBK"/>
                <w:sz w:val="28"/>
                <w:szCs w:val="28"/>
              </w:rPr>
              <w:t>符合 □不符合</w:t>
            </w:r>
          </w:p>
        </w:tc>
        <w:tc>
          <w:tcPr>
            <w:tcW w:w="85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360"/>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r>
          </w:p>
        </w:tc>
      </w:tr>
      <w:tr>
        <w:trPr>
          <w:trHeight w:val="630" w:hRule="atLeast"/>
        </w:trPr>
        <w:tc>
          <w:tcPr>
            <w:tcW w:w="79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方正仿宋_GB2312;方正仿宋_GBK" w:hAnsi="方正仿宋_GB2312;方正仿宋_GBK" w:eastAsia="方正仿宋_GB2312;方正仿宋_GBK" w:cs="方正仿宋_GB2312;方正仿宋_GBK"/>
                <w:sz w:val="28"/>
                <w:szCs w:val="28"/>
              </w:rPr>
            </w:pPr>
            <w:r>
              <w:rPr>
                <w:rFonts w:eastAsia="方正仿宋_GB2312;方正仿宋_GBK" w:cs="方正仿宋_GB2312;方正仿宋_GBK" w:ascii="方正仿宋_GB2312;方正仿宋_GBK" w:hAnsi="方正仿宋_GB2312;方正仿宋_GBK"/>
                <w:sz w:val="28"/>
                <w:szCs w:val="28"/>
              </w:rPr>
            </w:r>
          </w:p>
        </w:tc>
        <w:tc>
          <w:tcPr>
            <w:tcW w:w="223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黑体;方正黑体_GBK" w:hAnsi="黑体;方正黑体_GBK" w:eastAsia="黑体;方正黑体_GBK" w:cs="黑体;方正黑体_GBK"/>
                <w:kern w:val="0"/>
                <w:sz w:val="28"/>
                <w:szCs w:val="28"/>
              </w:rPr>
            </w:pPr>
            <w:r>
              <w:rPr>
                <w:rFonts w:eastAsia="黑体;方正黑体_GBK" w:cs="黑体;方正黑体_GBK" w:ascii="黑体;方正黑体_GBK" w:hAnsi="黑体;方正黑体_GBK"/>
                <w:kern w:val="0"/>
                <w:sz w:val="28"/>
                <w:szCs w:val="28"/>
              </w:rPr>
            </w:r>
          </w:p>
        </w:tc>
        <w:tc>
          <w:tcPr>
            <w:tcW w:w="15026" w:type="dxa"/>
            <w:tcBorders>
              <w:top w:val="single" w:sz="4" w:space="0" w:color="000000"/>
              <w:left w:val="single" w:sz="4" w:space="0" w:color="000000"/>
              <w:bottom w:val="single" w:sz="4" w:space="0" w:color="000000"/>
              <w:right w:val="single" w:sz="4" w:space="0" w:color="000000"/>
            </w:tcBorders>
          </w:tcPr>
          <w:p>
            <w:pPr>
              <w:pStyle w:val="ListParagraph"/>
              <w:overflowPunct w:val="false"/>
              <w:snapToGrid w:val="false"/>
              <w:spacing w:lineRule="exact" w:line="400"/>
              <w:ind w:hanging="0"/>
              <w:rPr>
                <w:rFonts w:ascii="仿宋;CESI仿宋-GB13000" w:hAnsi="仿宋;CESI仿宋-GB13000" w:eastAsia="仿宋;CESI仿宋-GB13000" w:cs="仿宋;CESI仿宋-GB13000"/>
                <w:sz w:val="28"/>
                <w:szCs w:val="28"/>
              </w:rPr>
            </w:pPr>
            <w:r>
              <w:rPr>
                <w:rFonts w:eastAsia="仿宋;CESI仿宋-GB13000" w:cs="仿宋;CESI仿宋-GB13000" w:ascii="仿宋;CESI仿宋-GB13000" w:hAnsi="仿宋;CESI仿宋-GB13000"/>
                <w:sz w:val="28"/>
                <w:szCs w:val="28"/>
              </w:rPr>
              <w:t>6</w:t>
            </w:r>
            <w:r>
              <w:rPr>
                <w:rFonts w:eastAsia="仿宋;CESI仿宋-GB13000" w:cs="仿宋;CESI仿宋-GB13000" w:ascii="仿宋;CESI仿宋-GB13000" w:hAnsi="仿宋;CESI仿宋-GB13000"/>
                <w:sz w:val="28"/>
                <w:szCs w:val="28"/>
              </w:rPr>
              <w:t>.“</w:t>
            </w:r>
            <w:r>
              <w:rPr>
                <w:rFonts w:ascii="仿宋;CESI仿宋-GB13000" w:hAnsi="仿宋;CESI仿宋-GB13000" w:cs="仿宋;CESI仿宋-GB13000" w:eastAsia="仿宋;CESI仿宋-GB13000"/>
                <w:sz w:val="28"/>
                <w:szCs w:val="28"/>
              </w:rPr>
              <w:t>委托境外企业生产”品种上传的委托关系文件，应当至少载明产品名称、委托方、受托生产企业名称、生产地址、本产品接受委托的日期、受托生产企业法人或者法人授权人的签章。</w:t>
            </w:r>
          </w:p>
        </w:tc>
        <w:tc>
          <w:tcPr>
            <w:tcW w:w="2378"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520"/>
              <w:jc w:val="center"/>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t>□</w:t>
            </w:r>
            <w:r>
              <w:rPr>
                <w:rFonts w:ascii="仿宋_GB2312;方正仿宋_GBK" w:hAnsi="仿宋_GB2312;方正仿宋_GBK" w:cs="仿宋_GB2312;方正仿宋_GBK" w:eastAsia="仿宋_GB2312;方正仿宋_GBK"/>
                <w:sz w:val="28"/>
                <w:szCs w:val="28"/>
              </w:rPr>
              <w:t>符合 □不符合</w:t>
            </w:r>
          </w:p>
        </w:tc>
        <w:tc>
          <w:tcPr>
            <w:tcW w:w="85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360"/>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r>
          </w:p>
        </w:tc>
      </w:tr>
      <w:tr>
        <w:trPr/>
        <w:tc>
          <w:tcPr>
            <w:tcW w:w="79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方正仿宋_GB2312;方正仿宋_GBK" w:hAnsi="方正仿宋_GB2312;方正仿宋_GBK" w:eastAsia="方正仿宋_GB2312;方正仿宋_GBK" w:cs="方正仿宋_GB2312;方正仿宋_GBK"/>
                <w:sz w:val="28"/>
                <w:szCs w:val="28"/>
              </w:rPr>
            </w:pPr>
            <w:r>
              <w:rPr>
                <w:rFonts w:eastAsia="方正仿宋_GB2312;方正仿宋_GBK" w:cs="方正仿宋_GB2312;方正仿宋_GBK" w:ascii="方正仿宋_GB2312;方正仿宋_GBK" w:hAnsi="方正仿宋_GB2312;方正仿宋_GBK"/>
                <w:sz w:val="28"/>
                <w:szCs w:val="28"/>
              </w:rPr>
            </w:r>
          </w:p>
        </w:tc>
        <w:tc>
          <w:tcPr>
            <w:tcW w:w="223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黑体;方正黑体_GBK" w:hAnsi="黑体;方正黑体_GBK" w:eastAsia="黑体;方正黑体_GBK" w:cs="黑体;方正黑体_GBK"/>
                <w:kern w:val="0"/>
                <w:sz w:val="28"/>
                <w:szCs w:val="28"/>
              </w:rPr>
            </w:pPr>
            <w:r>
              <w:rPr>
                <w:rFonts w:eastAsia="黑体;方正黑体_GBK" w:cs="黑体;方正黑体_GBK" w:ascii="黑体;方正黑体_GBK" w:hAnsi="黑体;方正黑体_GBK"/>
                <w:kern w:val="0"/>
                <w:sz w:val="28"/>
                <w:szCs w:val="28"/>
              </w:rPr>
            </w:r>
          </w:p>
        </w:tc>
        <w:tc>
          <w:tcPr>
            <w:tcW w:w="15026" w:type="dxa"/>
            <w:tcBorders>
              <w:top w:val="single" w:sz="4" w:space="0" w:color="000000"/>
              <w:left w:val="single" w:sz="4" w:space="0" w:color="000000"/>
              <w:bottom w:val="single" w:sz="4" w:space="0" w:color="000000"/>
              <w:right w:val="single" w:sz="4" w:space="0" w:color="000000"/>
            </w:tcBorders>
            <w:vAlign w:val="center"/>
          </w:tcPr>
          <w:p>
            <w:pPr>
              <w:pStyle w:val="ListParagraph"/>
              <w:overflowPunct w:val="false"/>
              <w:snapToGrid w:val="false"/>
              <w:spacing w:lineRule="exact" w:line="400"/>
              <w:ind w:hanging="0"/>
              <w:rPr>
                <w:rFonts w:ascii="仿宋;CESI仿宋-GB13000" w:hAnsi="仿宋;CESI仿宋-GB13000" w:eastAsia="仿宋;CESI仿宋-GB13000" w:cs="仿宋;CESI仿宋-GB13000"/>
                <w:sz w:val="28"/>
                <w:szCs w:val="28"/>
              </w:rPr>
            </w:pPr>
            <w:r>
              <w:rPr>
                <w:rFonts w:eastAsia="仿宋;CESI仿宋-GB13000" w:cs="仿宋;CESI仿宋-GB13000" w:ascii="仿宋;CESI仿宋-GB13000" w:hAnsi="仿宋;CESI仿宋-GB13000"/>
                <w:sz w:val="28"/>
                <w:szCs w:val="28"/>
              </w:rPr>
              <w:t>7.</w:t>
            </w:r>
            <w:r>
              <w:rPr>
                <w:rFonts w:ascii="仿宋;CESI仿宋-GB13000" w:hAnsi="仿宋;CESI仿宋-GB13000" w:cs="仿宋;CESI仿宋-GB13000" w:eastAsia="仿宋;CESI仿宋-GB13000"/>
                <w:sz w:val="28"/>
                <w:szCs w:val="28"/>
              </w:rPr>
              <w:t>备案人与受托生产企业属于同一集团公司的，可提交属于同一集团公司的证明资料以及企业集团出具的产品质量保证文件以确认委托关系。</w:t>
            </w:r>
          </w:p>
        </w:tc>
        <w:tc>
          <w:tcPr>
            <w:tcW w:w="2378"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520"/>
              <w:jc w:val="center"/>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t>□</w:t>
            </w:r>
            <w:r>
              <w:rPr>
                <w:rFonts w:ascii="仿宋_GB2312;方正仿宋_GBK" w:hAnsi="仿宋_GB2312;方正仿宋_GBK" w:cs="仿宋_GB2312;方正仿宋_GBK" w:eastAsia="仿宋_GB2312;方正仿宋_GBK"/>
                <w:sz w:val="28"/>
                <w:szCs w:val="28"/>
              </w:rPr>
              <w:t>符合 □不符合</w:t>
            </w:r>
          </w:p>
        </w:tc>
        <w:tc>
          <w:tcPr>
            <w:tcW w:w="85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360"/>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r>
          </w:p>
        </w:tc>
      </w:tr>
      <w:tr>
        <w:trPr>
          <w:trHeight w:val="564" w:hRule="atLeast"/>
        </w:trPr>
        <w:tc>
          <w:tcPr>
            <w:tcW w:w="79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方正仿宋_GB2312;方正仿宋_GBK" w:hAnsi="方正仿宋_GB2312;方正仿宋_GBK" w:eastAsia="方正仿宋_GB2312;方正仿宋_GBK" w:cs="方正仿宋_GB2312;方正仿宋_GBK"/>
                <w:sz w:val="28"/>
                <w:szCs w:val="28"/>
              </w:rPr>
            </w:pPr>
            <w:r>
              <w:rPr>
                <w:rFonts w:eastAsia="方正仿宋_GB2312;方正仿宋_GBK" w:cs="方正仿宋_GB2312;方正仿宋_GBK" w:ascii="方正仿宋_GB2312;方正仿宋_GBK" w:hAnsi="方正仿宋_GB2312;方正仿宋_GBK"/>
                <w:sz w:val="28"/>
                <w:szCs w:val="28"/>
              </w:rPr>
            </w:r>
          </w:p>
        </w:tc>
        <w:tc>
          <w:tcPr>
            <w:tcW w:w="223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黑体;方正黑体_GBK" w:hAnsi="黑体;方正黑体_GBK" w:eastAsia="黑体;方正黑体_GBK" w:cs="黑体;方正黑体_GBK"/>
                <w:kern w:val="0"/>
                <w:sz w:val="28"/>
                <w:szCs w:val="28"/>
              </w:rPr>
            </w:pPr>
            <w:r>
              <w:rPr>
                <w:rFonts w:eastAsia="黑体;方正黑体_GBK" w:cs="黑体;方正黑体_GBK" w:ascii="黑体;方正黑体_GBK" w:hAnsi="黑体;方正黑体_GBK"/>
                <w:kern w:val="0"/>
                <w:sz w:val="28"/>
                <w:szCs w:val="28"/>
              </w:rPr>
            </w:r>
          </w:p>
        </w:tc>
        <w:tc>
          <w:tcPr>
            <w:tcW w:w="15026" w:type="dxa"/>
            <w:tcBorders>
              <w:top w:val="single" w:sz="4" w:space="0" w:color="000000"/>
              <w:left w:val="single" w:sz="4" w:space="0" w:color="000000"/>
              <w:bottom w:val="single" w:sz="4" w:space="0" w:color="000000"/>
              <w:right w:val="single" w:sz="4" w:space="0" w:color="000000"/>
            </w:tcBorders>
          </w:tcPr>
          <w:p>
            <w:pPr>
              <w:pStyle w:val="ListParagraph"/>
              <w:overflowPunct w:val="false"/>
              <w:spacing w:lineRule="exact" w:line="400"/>
              <w:ind w:hanging="0"/>
              <w:rPr>
                <w:rFonts w:ascii="仿宋;CESI仿宋-GB13000" w:hAnsi="仿宋;CESI仿宋-GB13000" w:eastAsia="仿宋;CESI仿宋-GB13000" w:cs="仿宋;CESI仿宋-GB13000"/>
                <w:sz w:val="28"/>
                <w:szCs w:val="28"/>
              </w:rPr>
            </w:pPr>
            <w:r>
              <w:rPr>
                <w:rFonts w:eastAsia="仿宋;CESI仿宋-GB13000" w:cs="仿宋;CESI仿宋-GB13000" w:ascii="仿宋;CESI仿宋-GB13000" w:hAnsi="仿宋;CESI仿宋-GB13000"/>
                <w:sz w:val="28"/>
                <w:szCs w:val="28"/>
              </w:rPr>
              <w:t>8</w:t>
            </w:r>
            <w:r>
              <w:rPr>
                <w:rFonts w:eastAsia="仿宋;CESI仿宋-GB13000" w:cs="仿宋;CESI仿宋-GB13000" w:ascii="仿宋;CESI仿宋-GB13000" w:hAnsi="仿宋;CESI仿宋-GB13000"/>
                <w:sz w:val="28"/>
                <w:szCs w:val="28"/>
              </w:rPr>
              <w:t>.“</w:t>
            </w:r>
            <w:r>
              <w:rPr>
                <w:rFonts w:ascii="仿宋;CESI仿宋-GB13000" w:hAnsi="仿宋;CESI仿宋-GB13000" w:cs="仿宋;CESI仿宋-GB13000" w:eastAsia="仿宋;CESI仿宋-GB13000"/>
                <w:sz w:val="28"/>
                <w:szCs w:val="28"/>
              </w:rPr>
              <w:t>委托境外企业生产”品种上传的上传的已上市销售证明文件应当至少载明注册人、备案人或者生产企业的名称、产品名称、出具文件的机构名称以及文件出具日期，并由机构签章确认。</w:t>
            </w:r>
          </w:p>
        </w:tc>
        <w:tc>
          <w:tcPr>
            <w:tcW w:w="2378"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520"/>
              <w:jc w:val="center"/>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t>□</w:t>
            </w:r>
            <w:r>
              <w:rPr>
                <w:rFonts w:ascii="仿宋_GB2312;方正仿宋_GBK" w:hAnsi="仿宋_GB2312;方正仿宋_GBK" w:cs="仿宋_GB2312;方正仿宋_GBK" w:eastAsia="仿宋_GB2312;方正仿宋_GBK"/>
                <w:sz w:val="28"/>
                <w:szCs w:val="28"/>
              </w:rPr>
              <w:t>符合 □不符合</w:t>
            </w:r>
          </w:p>
        </w:tc>
        <w:tc>
          <w:tcPr>
            <w:tcW w:w="85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360"/>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r>
          </w:p>
        </w:tc>
      </w:tr>
      <w:tr>
        <w:trPr>
          <w:trHeight w:val="627" w:hRule="atLeast"/>
        </w:trPr>
        <w:tc>
          <w:tcPr>
            <w:tcW w:w="79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方正仿宋_GB2312;方正仿宋_GBK" w:hAnsi="方正仿宋_GB2312;方正仿宋_GBK" w:eastAsia="方正仿宋_GB2312;方正仿宋_GBK" w:cs="方正仿宋_GB2312;方正仿宋_GBK"/>
                <w:sz w:val="28"/>
                <w:szCs w:val="28"/>
              </w:rPr>
            </w:pPr>
            <w:r>
              <w:rPr>
                <w:rFonts w:eastAsia="方正仿宋_GB2312;方正仿宋_GBK" w:cs="方正仿宋_GB2312;方正仿宋_GBK" w:ascii="方正仿宋_GB2312;方正仿宋_GBK" w:hAnsi="方正仿宋_GB2312;方正仿宋_GBK"/>
                <w:sz w:val="28"/>
                <w:szCs w:val="28"/>
              </w:rPr>
            </w:r>
          </w:p>
        </w:tc>
        <w:tc>
          <w:tcPr>
            <w:tcW w:w="223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黑体;方正黑体_GBK" w:hAnsi="黑体;方正黑体_GBK" w:eastAsia="黑体;方正黑体_GBK" w:cs="黑体;方正黑体_GBK"/>
                <w:kern w:val="0"/>
                <w:sz w:val="28"/>
                <w:szCs w:val="28"/>
              </w:rPr>
            </w:pPr>
            <w:r>
              <w:rPr>
                <w:rFonts w:eastAsia="黑体;方正黑体_GBK" w:cs="黑体;方正黑体_GBK" w:ascii="黑体;方正黑体_GBK" w:hAnsi="黑体;方正黑体_GBK"/>
                <w:kern w:val="0"/>
                <w:sz w:val="28"/>
                <w:szCs w:val="28"/>
              </w:rPr>
            </w:r>
          </w:p>
        </w:tc>
        <w:tc>
          <w:tcPr>
            <w:tcW w:w="15026" w:type="dxa"/>
            <w:tcBorders>
              <w:top w:val="single" w:sz="4" w:space="0" w:color="000000"/>
              <w:left w:val="single" w:sz="4" w:space="0" w:color="000000"/>
              <w:bottom w:val="single" w:sz="4" w:space="0" w:color="000000"/>
              <w:right w:val="single" w:sz="4" w:space="0" w:color="000000"/>
            </w:tcBorders>
          </w:tcPr>
          <w:p>
            <w:pPr>
              <w:pStyle w:val="ListParagraph"/>
              <w:overflowPunct w:val="false"/>
              <w:spacing w:lineRule="exact" w:line="400"/>
              <w:ind w:hanging="0"/>
              <w:rPr>
                <w:rFonts w:ascii="仿宋;CESI仿宋-GB13000" w:hAnsi="仿宋;CESI仿宋-GB13000" w:eastAsia="仿宋;CESI仿宋-GB13000" w:cs="仿宋;CESI仿宋-GB13000"/>
                <w:sz w:val="28"/>
                <w:szCs w:val="28"/>
              </w:rPr>
            </w:pPr>
            <w:r>
              <w:rPr>
                <w:rFonts w:eastAsia="仿宋;CESI仿宋-GB13000" w:cs="仿宋;CESI仿宋-GB13000" w:ascii="仿宋;CESI仿宋-GB13000" w:hAnsi="仿宋;CESI仿宋-GB13000"/>
                <w:sz w:val="28"/>
                <w:szCs w:val="28"/>
              </w:rPr>
              <w:t>9</w:t>
            </w:r>
            <w:r>
              <w:rPr>
                <w:rFonts w:eastAsia="仿宋;CESI仿宋-GB13000" w:cs="仿宋;CESI仿宋-GB13000" w:ascii="仿宋;CESI仿宋-GB13000" w:hAnsi="仿宋;CESI仿宋-GB13000"/>
                <w:sz w:val="28"/>
                <w:szCs w:val="28"/>
              </w:rPr>
              <w:t>.</w:t>
            </w:r>
            <w:r>
              <w:rPr>
                <w:rFonts w:ascii="仿宋;CESI仿宋-GB13000" w:hAnsi="仿宋;CESI仿宋-GB13000" w:cs="仿宋;CESI仿宋-GB13000" w:eastAsia="仿宋;CESI仿宋-GB13000"/>
                <w:sz w:val="28"/>
                <w:szCs w:val="28"/>
              </w:rPr>
              <w:t>进口产品应当提供由化妆品注册人、备案人所在国或生产国（地区）政府主管部门或者行业协会等机构出具的已上市销售证明文件，境内注册人、备案人委托境外生产企业生产的和产品配方专为中国市场设计的除外。</w:t>
            </w:r>
          </w:p>
        </w:tc>
        <w:tc>
          <w:tcPr>
            <w:tcW w:w="2378"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520"/>
              <w:jc w:val="center"/>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t>□</w:t>
            </w:r>
            <w:r>
              <w:rPr>
                <w:rFonts w:ascii="仿宋_GB2312;方正仿宋_GBK" w:hAnsi="仿宋_GB2312;方正仿宋_GBK" w:cs="仿宋_GB2312;方正仿宋_GBK" w:eastAsia="仿宋_GB2312;方正仿宋_GBK"/>
                <w:sz w:val="28"/>
                <w:szCs w:val="28"/>
              </w:rPr>
              <w:t>符合 □不符合</w:t>
            </w:r>
          </w:p>
        </w:tc>
        <w:tc>
          <w:tcPr>
            <w:tcW w:w="85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360"/>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r>
          </w:p>
        </w:tc>
      </w:tr>
      <w:tr>
        <w:trPr>
          <w:trHeight w:val="402" w:hRule="atLeast"/>
        </w:trPr>
        <w:tc>
          <w:tcPr>
            <w:tcW w:w="79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方正仿宋_GB2312;方正仿宋_GBK" w:hAnsi="方正仿宋_GB2312;方正仿宋_GBK" w:eastAsia="方正仿宋_GB2312;方正仿宋_GBK" w:cs="方正仿宋_GB2312;方正仿宋_GBK"/>
                <w:sz w:val="28"/>
                <w:szCs w:val="28"/>
              </w:rPr>
            </w:pPr>
            <w:r>
              <w:rPr>
                <w:rFonts w:eastAsia="方正仿宋_GB2312;方正仿宋_GBK" w:cs="方正仿宋_GB2312;方正仿宋_GBK" w:ascii="方正仿宋_GB2312;方正仿宋_GBK" w:hAnsi="方正仿宋_GB2312;方正仿宋_GBK"/>
                <w:sz w:val="28"/>
                <w:szCs w:val="28"/>
              </w:rPr>
            </w:r>
          </w:p>
        </w:tc>
        <w:tc>
          <w:tcPr>
            <w:tcW w:w="223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黑体;方正黑体_GBK" w:hAnsi="黑体;方正黑体_GBK" w:eastAsia="黑体;方正黑体_GBK" w:cs="黑体;方正黑体_GBK"/>
                <w:kern w:val="0"/>
                <w:sz w:val="28"/>
                <w:szCs w:val="28"/>
              </w:rPr>
            </w:pPr>
            <w:r>
              <w:rPr>
                <w:rFonts w:eastAsia="黑体;方正黑体_GBK" w:cs="黑体;方正黑体_GBK" w:ascii="黑体;方正黑体_GBK" w:hAnsi="黑体;方正黑体_GBK"/>
                <w:kern w:val="0"/>
                <w:sz w:val="28"/>
                <w:szCs w:val="28"/>
              </w:rPr>
            </w:r>
          </w:p>
        </w:tc>
        <w:tc>
          <w:tcPr>
            <w:tcW w:w="15026" w:type="dxa"/>
            <w:tcBorders>
              <w:top w:val="single" w:sz="4" w:space="0" w:color="000000"/>
              <w:left w:val="single" w:sz="4" w:space="0" w:color="000000"/>
              <w:bottom w:val="single" w:sz="4" w:space="0" w:color="000000"/>
              <w:right w:val="single" w:sz="4" w:space="0" w:color="000000"/>
            </w:tcBorders>
          </w:tcPr>
          <w:p>
            <w:pPr>
              <w:pStyle w:val="ListParagraph"/>
              <w:overflowPunct w:val="false"/>
              <w:spacing w:lineRule="exact" w:line="400"/>
              <w:ind w:hanging="0"/>
              <w:rPr>
                <w:rFonts w:ascii="仿宋;CESI仿宋-GB13000" w:hAnsi="仿宋;CESI仿宋-GB13000" w:eastAsia="仿宋;CESI仿宋-GB13000" w:cs="仿宋;CESI仿宋-GB13000"/>
                <w:sz w:val="28"/>
                <w:szCs w:val="28"/>
              </w:rPr>
            </w:pPr>
            <w:r>
              <w:rPr>
                <w:rFonts w:eastAsia="仿宋;CESI仿宋-GB13000" w:cs="仿宋;CESI仿宋-GB13000" w:ascii="仿宋;CESI仿宋-GB13000" w:hAnsi="仿宋;CESI仿宋-GB13000"/>
                <w:sz w:val="28"/>
                <w:szCs w:val="28"/>
              </w:rPr>
              <w:t>10</w:t>
            </w:r>
            <w:r>
              <w:rPr>
                <w:rFonts w:eastAsia="仿宋;CESI仿宋-GB13000" w:cs="仿宋;CESI仿宋-GB13000" w:ascii="仿宋;CESI仿宋-GB13000" w:hAnsi="仿宋;CESI仿宋-GB13000"/>
                <w:sz w:val="28"/>
                <w:szCs w:val="28"/>
              </w:rPr>
              <w:t>.</w:t>
            </w:r>
            <w:r>
              <w:rPr>
                <w:rFonts w:ascii="仿宋;CESI仿宋-GB13000" w:hAnsi="仿宋;CESI仿宋-GB13000" w:cs="仿宋;CESI仿宋-GB13000" w:eastAsia="仿宋;CESI仿宋-GB13000"/>
                <w:sz w:val="28"/>
                <w:szCs w:val="28"/>
              </w:rPr>
              <w:t>进口产品的已上市销售证明文件、委托关系文件或者属于一个集团公司的证明资料等文件可同时列明多个产品。</w:t>
            </w:r>
          </w:p>
        </w:tc>
        <w:tc>
          <w:tcPr>
            <w:tcW w:w="2378"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520"/>
              <w:jc w:val="center"/>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t>□</w:t>
            </w:r>
            <w:r>
              <w:rPr>
                <w:rFonts w:ascii="仿宋_GB2312;方正仿宋_GBK" w:hAnsi="仿宋_GB2312;方正仿宋_GBK" w:cs="仿宋_GB2312;方正仿宋_GBK" w:eastAsia="仿宋_GB2312;方正仿宋_GBK"/>
                <w:sz w:val="28"/>
                <w:szCs w:val="28"/>
              </w:rPr>
              <w:t>符合 □不符合</w:t>
            </w:r>
          </w:p>
        </w:tc>
        <w:tc>
          <w:tcPr>
            <w:tcW w:w="85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360"/>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r>
          </w:p>
        </w:tc>
      </w:tr>
      <w:tr>
        <w:trPr>
          <w:trHeight w:val="603" w:hRule="atLeast"/>
        </w:trPr>
        <w:tc>
          <w:tcPr>
            <w:tcW w:w="79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方正仿宋_GB2312;方正仿宋_GBK" w:hAnsi="方正仿宋_GB2312;方正仿宋_GBK" w:eastAsia="方正仿宋_GB2312;方正仿宋_GBK" w:cs="方正仿宋_GB2312;方正仿宋_GBK"/>
                <w:sz w:val="28"/>
                <w:szCs w:val="28"/>
              </w:rPr>
            </w:pPr>
            <w:r>
              <w:rPr>
                <w:rFonts w:eastAsia="方正仿宋_GB2312;方正仿宋_GBK" w:cs="方正仿宋_GB2312;方正仿宋_GBK" w:ascii="方正仿宋_GB2312;方正仿宋_GBK" w:hAnsi="方正仿宋_GB2312;方正仿宋_GBK"/>
                <w:sz w:val="28"/>
                <w:szCs w:val="28"/>
              </w:rPr>
            </w:r>
          </w:p>
        </w:tc>
        <w:tc>
          <w:tcPr>
            <w:tcW w:w="223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黑体;方正黑体_GBK" w:hAnsi="黑体;方正黑体_GBK" w:eastAsia="黑体;方正黑体_GBK" w:cs="黑体;方正黑体_GBK"/>
                <w:kern w:val="0"/>
                <w:sz w:val="28"/>
                <w:szCs w:val="28"/>
              </w:rPr>
            </w:pPr>
            <w:r>
              <w:rPr>
                <w:rFonts w:eastAsia="黑体;方正黑体_GBK" w:cs="黑体;方正黑体_GBK" w:ascii="黑体;方正黑体_GBK" w:hAnsi="黑体;方正黑体_GBK"/>
                <w:kern w:val="0"/>
                <w:sz w:val="28"/>
                <w:szCs w:val="28"/>
              </w:rPr>
            </w:r>
          </w:p>
        </w:tc>
        <w:tc>
          <w:tcPr>
            <w:tcW w:w="15026" w:type="dxa"/>
            <w:tcBorders>
              <w:top w:val="single" w:sz="4" w:space="0" w:color="000000"/>
              <w:left w:val="single" w:sz="4" w:space="0" w:color="000000"/>
              <w:bottom w:val="single" w:sz="4" w:space="0" w:color="000000"/>
              <w:right w:val="single" w:sz="4" w:space="0" w:color="000000"/>
            </w:tcBorders>
          </w:tcPr>
          <w:p>
            <w:pPr>
              <w:pStyle w:val="ListParagraph"/>
              <w:overflowPunct w:val="false"/>
              <w:spacing w:lineRule="exact" w:line="400"/>
              <w:ind w:hanging="0"/>
              <w:rPr>
                <w:rFonts w:ascii="仿宋;CESI仿宋-GB13000" w:hAnsi="仿宋;CESI仿宋-GB13000" w:eastAsia="仿宋;CESI仿宋-GB13000" w:cs="仿宋;CESI仿宋-GB13000"/>
                <w:sz w:val="28"/>
                <w:szCs w:val="28"/>
              </w:rPr>
            </w:pPr>
            <w:r>
              <w:rPr>
                <w:rFonts w:eastAsia="仿宋;CESI仿宋-GB13000" w:cs="仿宋;CESI仿宋-GB13000" w:ascii="仿宋;CESI仿宋-GB13000" w:hAnsi="仿宋;CESI仿宋-GB13000"/>
                <w:sz w:val="28"/>
                <w:szCs w:val="28"/>
              </w:rPr>
              <w:t>11</w:t>
            </w:r>
            <w:r>
              <w:rPr>
                <w:rFonts w:eastAsia="仿宋;CESI仿宋-GB13000" w:cs="仿宋;CESI仿宋-GB13000" w:ascii="仿宋;CESI仿宋-GB13000" w:hAnsi="仿宋;CESI仿宋-GB13000"/>
                <w:sz w:val="28"/>
                <w:szCs w:val="28"/>
              </w:rPr>
              <w:t>.</w:t>
            </w:r>
            <w:r>
              <w:rPr>
                <w:rFonts w:ascii="仿宋;CESI仿宋-GB13000" w:hAnsi="仿宋;CESI仿宋-GB13000" w:cs="仿宋;CESI仿宋-GB13000" w:eastAsia="仿宋;CESI仿宋-GB13000"/>
                <w:sz w:val="28"/>
                <w:szCs w:val="28"/>
              </w:rPr>
              <w:t>专为中国市场设计销售包装的，应当提交该产品在化妆品注册人、备案人所在国或生产国（地区）的已上市销售证明文件，同时提交产品配方、生产工艺与化妆品注册人、备案人所在国或者生产国（地区）产品一致的说明资料。</w:t>
            </w:r>
          </w:p>
        </w:tc>
        <w:tc>
          <w:tcPr>
            <w:tcW w:w="2378"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520"/>
              <w:jc w:val="center"/>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t>□</w:t>
            </w:r>
            <w:r>
              <w:rPr>
                <w:rFonts w:ascii="仿宋_GB2312;方正仿宋_GBK" w:hAnsi="仿宋_GB2312;方正仿宋_GBK" w:cs="仿宋_GB2312;方正仿宋_GBK" w:eastAsia="仿宋_GB2312;方正仿宋_GBK"/>
                <w:sz w:val="28"/>
                <w:szCs w:val="28"/>
              </w:rPr>
              <w:t>符合 □不符合</w:t>
            </w:r>
          </w:p>
        </w:tc>
        <w:tc>
          <w:tcPr>
            <w:tcW w:w="85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360"/>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r>
          </w:p>
        </w:tc>
      </w:tr>
      <w:tr>
        <w:trPr>
          <w:trHeight w:val="90" w:hRule="atLeast"/>
        </w:trPr>
        <w:tc>
          <w:tcPr>
            <w:tcW w:w="79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方正仿宋_GB2312;方正仿宋_GBK" w:hAnsi="方正仿宋_GB2312;方正仿宋_GBK" w:eastAsia="方正仿宋_GB2312;方正仿宋_GBK" w:cs="方正仿宋_GB2312;方正仿宋_GBK"/>
                <w:sz w:val="28"/>
                <w:szCs w:val="28"/>
              </w:rPr>
            </w:pPr>
            <w:r>
              <w:rPr>
                <w:rFonts w:eastAsia="方正仿宋_GB2312;方正仿宋_GBK" w:cs="方正仿宋_GB2312;方正仿宋_GBK" w:ascii="方正仿宋_GB2312;方正仿宋_GBK" w:hAnsi="方正仿宋_GB2312;方正仿宋_GBK"/>
                <w:sz w:val="28"/>
                <w:szCs w:val="28"/>
              </w:rPr>
            </w:r>
          </w:p>
        </w:tc>
        <w:tc>
          <w:tcPr>
            <w:tcW w:w="223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黑体;方正黑体_GBK" w:hAnsi="黑体;方正黑体_GBK" w:eastAsia="黑体;方正黑体_GBK" w:cs="黑体;方正黑体_GBK"/>
                <w:kern w:val="0"/>
                <w:sz w:val="28"/>
                <w:szCs w:val="28"/>
              </w:rPr>
            </w:pPr>
            <w:r>
              <w:rPr>
                <w:rFonts w:eastAsia="黑体;方正黑体_GBK" w:cs="黑体;方正黑体_GBK" w:ascii="黑体;方正黑体_GBK" w:hAnsi="黑体;方正黑体_GBK"/>
                <w:kern w:val="0"/>
                <w:sz w:val="28"/>
                <w:szCs w:val="28"/>
              </w:rPr>
            </w:r>
          </w:p>
        </w:tc>
        <w:tc>
          <w:tcPr>
            <w:tcW w:w="15026" w:type="dxa"/>
            <w:tcBorders>
              <w:top w:val="single" w:sz="4" w:space="0" w:color="000000"/>
              <w:left w:val="single" w:sz="4" w:space="0" w:color="000000"/>
              <w:bottom w:val="single" w:sz="4" w:space="0" w:color="000000"/>
              <w:right w:val="single" w:sz="4" w:space="0" w:color="000000"/>
            </w:tcBorders>
          </w:tcPr>
          <w:p>
            <w:pPr>
              <w:pStyle w:val="ListParagraph"/>
              <w:overflowPunct w:val="false"/>
              <w:spacing w:lineRule="exact" w:line="400"/>
              <w:ind w:hanging="0"/>
              <w:rPr>
                <w:rFonts w:ascii="仿宋;CESI仿宋-GB13000" w:hAnsi="仿宋;CESI仿宋-GB13000" w:eastAsia="仿宋;CESI仿宋-GB13000" w:cs="仿宋;CESI仿宋-GB13000"/>
                <w:sz w:val="28"/>
                <w:szCs w:val="28"/>
              </w:rPr>
            </w:pPr>
            <w:r>
              <w:rPr>
                <w:rFonts w:eastAsia="仿宋;CESI仿宋-GB13000" w:cs="仿宋;CESI仿宋-GB13000" w:ascii="仿宋;CESI仿宋-GB13000" w:hAnsi="仿宋;CESI仿宋-GB13000"/>
                <w:sz w:val="28"/>
                <w:szCs w:val="28"/>
              </w:rPr>
              <w:t>12</w:t>
            </w:r>
            <w:r>
              <w:rPr>
                <w:rFonts w:eastAsia="仿宋;CESI仿宋-GB13000" w:cs="仿宋;CESI仿宋-GB13000" w:ascii="仿宋;CESI仿宋-GB13000" w:hAnsi="仿宋;CESI仿宋-GB13000"/>
                <w:sz w:val="28"/>
                <w:szCs w:val="28"/>
              </w:rPr>
              <w:t>.</w:t>
            </w:r>
            <w:r>
              <w:rPr>
                <w:rFonts w:ascii="仿宋;CESI仿宋-GB13000" w:hAnsi="仿宋;CESI仿宋-GB13000" w:cs="仿宋;CESI仿宋-GB13000" w:eastAsia="仿宋;CESI仿宋-GB13000"/>
                <w:sz w:val="28"/>
                <w:szCs w:val="28"/>
              </w:rPr>
              <w:t>产品配方专为中国市场设计的进口产品（境内委托境外生产的除外），应当提交针对中国消费者的肤质类型、消费需求等进行配方设计的说明资料；在中国境内选用中国消费者开展消费者测试研究或者人体功效试验资料。</w:t>
            </w:r>
          </w:p>
        </w:tc>
        <w:tc>
          <w:tcPr>
            <w:tcW w:w="2378"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520"/>
              <w:jc w:val="center"/>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t>□</w:t>
            </w:r>
            <w:r>
              <w:rPr>
                <w:rFonts w:ascii="仿宋_GB2312;方正仿宋_GBK" w:hAnsi="仿宋_GB2312;方正仿宋_GBK" w:cs="仿宋_GB2312;方正仿宋_GBK" w:eastAsia="仿宋_GB2312;方正仿宋_GBK"/>
                <w:sz w:val="28"/>
                <w:szCs w:val="28"/>
              </w:rPr>
              <w:t>符合 □不符合</w:t>
            </w:r>
          </w:p>
        </w:tc>
        <w:tc>
          <w:tcPr>
            <w:tcW w:w="85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360"/>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r>
          </w:p>
        </w:tc>
      </w:tr>
      <w:tr>
        <w:trPr>
          <w:trHeight w:val="90" w:hRule="atLeast"/>
        </w:trPr>
        <w:tc>
          <w:tcPr>
            <w:tcW w:w="79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方正仿宋_GB2312;方正仿宋_GBK" w:hAnsi="方正仿宋_GB2312;方正仿宋_GBK" w:eastAsia="方正仿宋_GB2312;方正仿宋_GBK" w:cs="方正仿宋_GB2312;方正仿宋_GBK"/>
                <w:sz w:val="28"/>
                <w:szCs w:val="28"/>
              </w:rPr>
            </w:pPr>
            <w:r>
              <w:rPr>
                <w:rFonts w:eastAsia="方正仿宋_GB2312;方正仿宋_GBK" w:cs="方正仿宋_GB2312;方正仿宋_GBK" w:ascii="方正仿宋_GB2312;方正仿宋_GBK" w:hAnsi="方正仿宋_GB2312;方正仿宋_GBK"/>
                <w:sz w:val="28"/>
                <w:szCs w:val="28"/>
              </w:rPr>
            </w:r>
          </w:p>
        </w:tc>
        <w:tc>
          <w:tcPr>
            <w:tcW w:w="223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黑体;方正黑体_GBK" w:hAnsi="黑体;方正黑体_GBK" w:eastAsia="黑体;方正黑体_GBK" w:cs="黑体;方正黑体_GBK"/>
                <w:kern w:val="0"/>
                <w:sz w:val="28"/>
                <w:szCs w:val="28"/>
              </w:rPr>
            </w:pPr>
            <w:r>
              <w:rPr>
                <w:rFonts w:eastAsia="黑体;方正黑体_GBK" w:cs="黑体;方正黑体_GBK" w:ascii="黑体;方正黑体_GBK" w:hAnsi="黑体;方正黑体_GBK"/>
                <w:kern w:val="0"/>
                <w:sz w:val="28"/>
                <w:szCs w:val="28"/>
              </w:rPr>
            </w:r>
          </w:p>
        </w:tc>
        <w:tc>
          <w:tcPr>
            <w:tcW w:w="15026" w:type="dxa"/>
            <w:tcBorders>
              <w:top w:val="single" w:sz="4" w:space="0" w:color="000000"/>
              <w:left w:val="single" w:sz="4" w:space="0" w:color="000000"/>
              <w:bottom w:val="single" w:sz="4" w:space="0" w:color="000000"/>
              <w:right w:val="single" w:sz="4" w:space="0" w:color="000000"/>
            </w:tcBorders>
          </w:tcPr>
          <w:p>
            <w:pPr>
              <w:pStyle w:val="ListParagraph"/>
              <w:overflowPunct w:val="false"/>
              <w:snapToGrid w:val="false"/>
              <w:spacing w:lineRule="exact" w:line="400"/>
              <w:ind w:hanging="0"/>
              <w:rPr>
                <w:rFonts w:ascii="仿宋;CESI仿宋-GB13000" w:hAnsi="仿宋;CESI仿宋-GB13000" w:eastAsia="仿宋;CESI仿宋-GB13000" w:cs="仿宋;CESI仿宋-GB13000"/>
                <w:sz w:val="28"/>
                <w:szCs w:val="28"/>
              </w:rPr>
            </w:pPr>
            <w:r>
              <w:rPr>
                <w:rFonts w:eastAsia="仿宋;CESI仿宋-GB13000" w:cs="仿宋;CESI仿宋-GB13000" w:ascii="仿宋;CESI仿宋-GB13000" w:hAnsi="仿宋;CESI仿宋-GB13000"/>
                <w:sz w:val="28"/>
                <w:szCs w:val="28"/>
              </w:rPr>
              <w:t>13.</w:t>
            </w:r>
            <w:r>
              <w:rPr>
                <w:rFonts w:ascii="仿宋;CESI仿宋-GB13000" w:hAnsi="仿宋;CESI仿宋-GB13000" w:cs="仿宋;CESI仿宋-GB13000" w:eastAsia="仿宋;CESI仿宋-GB13000"/>
                <w:sz w:val="28"/>
                <w:szCs w:val="28"/>
              </w:rPr>
              <w:t>必须配合仪器或者工具</w:t>
            </w:r>
            <w:r>
              <w:rPr>
                <w:rFonts w:eastAsia="仿宋;CESI仿宋-GB13000" w:cs="仿宋;CESI仿宋-GB13000" w:ascii="仿宋;CESI仿宋-GB13000" w:hAnsi="仿宋;CESI仿宋-GB13000"/>
                <w:sz w:val="28"/>
                <w:szCs w:val="28"/>
              </w:rPr>
              <w:t>(</w:t>
            </w:r>
            <w:r>
              <w:rPr>
                <w:rFonts w:ascii="仿宋;CESI仿宋-GB13000" w:hAnsi="仿宋;CESI仿宋-GB13000" w:cs="仿宋;CESI仿宋-GB13000" w:eastAsia="仿宋;CESI仿宋-GB13000"/>
                <w:sz w:val="28"/>
                <w:szCs w:val="28"/>
              </w:rPr>
              <w:t>仅辅助涂擦的毛刷、气垫、烫发工具等除外</w:t>
            </w:r>
            <w:r>
              <w:rPr>
                <w:rFonts w:eastAsia="仿宋;CESI仿宋-GB13000" w:cs="仿宋;CESI仿宋-GB13000" w:ascii="仿宋;CESI仿宋-GB13000" w:hAnsi="仿宋;CESI仿宋-GB13000"/>
                <w:sz w:val="28"/>
                <w:szCs w:val="28"/>
              </w:rPr>
              <w:t>)</w:t>
            </w:r>
            <w:r>
              <w:rPr>
                <w:rFonts w:ascii="仿宋;CESI仿宋-GB13000" w:hAnsi="仿宋;CESI仿宋-GB13000" w:cs="仿宋;CESI仿宋-GB13000" w:eastAsia="仿宋;CESI仿宋-GB13000"/>
                <w:sz w:val="28"/>
                <w:szCs w:val="28"/>
              </w:rPr>
              <w:t>使用的化妆品，应勾选“配合仪器使用产品”。</w:t>
            </w:r>
          </w:p>
        </w:tc>
        <w:tc>
          <w:tcPr>
            <w:tcW w:w="2378"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520"/>
              <w:jc w:val="center"/>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t>□</w:t>
            </w:r>
            <w:r>
              <w:rPr>
                <w:rFonts w:ascii="仿宋_GB2312;方正仿宋_GBK" w:hAnsi="仿宋_GB2312;方正仿宋_GBK" w:cs="仿宋_GB2312;方正仿宋_GBK" w:eastAsia="仿宋_GB2312;方正仿宋_GBK"/>
                <w:sz w:val="28"/>
                <w:szCs w:val="28"/>
              </w:rPr>
              <w:t>符合 □不符合</w:t>
            </w:r>
          </w:p>
        </w:tc>
        <w:tc>
          <w:tcPr>
            <w:tcW w:w="85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360"/>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r>
          </w:p>
        </w:tc>
      </w:tr>
      <w:tr>
        <w:trPr>
          <w:trHeight w:val="695" w:hRule="atLeast"/>
        </w:trPr>
        <w:tc>
          <w:tcPr>
            <w:tcW w:w="79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方正仿宋_GB2312;方正仿宋_GBK" w:hAnsi="方正仿宋_GB2312;方正仿宋_GBK" w:eastAsia="方正仿宋_GB2312;方正仿宋_GBK" w:cs="方正仿宋_GB2312;方正仿宋_GBK"/>
                <w:sz w:val="28"/>
                <w:szCs w:val="28"/>
              </w:rPr>
            </w:pPr>
            <w:r>
              <w:rPr>
                <w:rFonts w:eastAsia="方正仿宋_GB2312;方正仿宋_GBK" w:cs="方正仿宋_GB2312;方正仿宋_GBK" w:ascii="方正仿宋_GB2312;方正仿宋_GBK" w:hAnsi="方正仿宋_GB2312;方正仿宋_GBK"/>
                <w:sz w:val="28"/>
                <w:szCs w:val="28"/>
              </w:rPr>
            </w:r>
          </w:p>
        </w:tc>
        <w:tc>
          <w:tcPr>
            <w:tcW w:w="223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黑体;方正黑体_GBK" w:hAnsi="黑体;方正黑体_GBK" w:eastAsia="黑体;方正黑体_GBK" w:cs="黑体;方正黑体_GBK"/>
                <w:kern w:val="0"/>
                <w:sz w:val="28"/>
                <w:szCs w:val="28"/>
              </w:rPr>
            </w:pPr>
            <w:r>
              <w:rPr>
                <w:rFonts w:eastAsia="黑体;方正黑体_GBK" w:cs="黑体;方正黑体_GBK" w:ascii="黑体;方正黑体_GBK" w:hAnsi="黑体;方正黑体_GBK"/>
                <w:kern w:val="0"/>
                <w:sz w:val="28"/>
                <w:szCs w:val="28"/>
              </w:rPr>
            </w:r>
          </w:p>
        </w:tc>
        <w:tc>
          <w:tcPr>
            <w:tcW w:w="15026" w:type="dxa"/>
            <w:tcBorders>
              <w:top w:val="single" w:sz="4" w:space="0" w:color="000000"/>
              <w:left w:val="single" w:sz="4" w:space="0" w:color="000000"/>
              <w:bottom w:val="single" w:sz="4" w:space="0" w:color="000000"/>
              <w:right w:val="single" w:sz="4" w:space="0" w:color="000000"/>
            </w:tcBorders>
          </w:tcPr>
          <w:p>
            <w:pPr>
              <w:pStyle w:val="ListParagraph"/>
              <w:overflowPunct w:val="false"/>
              <w:spacing w:lineRule="exact" w:line="400"/>
              <w:ind w:hanging="0"/>
              <w:rPr>
                <w:rFonts w:ascii="仿宋;CESI仿宋-GB13000" w:hAnsi="仿宋;CESI仿宋-GB13000" w:eastAsia="仿宋;CESI仿宋-GB13000" w:cs="仿宋;CESI仿宋-GB13000"/>
                <w:sz w:val="28"/>
                <w:szCs w:val="28"/>
              </w:rPr>
            </w:pPr>
            <w:r>
              <w:rPr>
                <w:rFonts w:eastAsia="仿宋;CESI仿宋-GB13000" w:cs="仿宋;CESI仿宋-GB13000" w:ascii="仿宋;CESI仿宋-GB13000" w:hAnsi="仿宋;CESI仿宋-GB13000"/>
                <w:sz w:val="28"/>
                <w:szCs w:val="28"/>
              </w:rPr>
              <w:t>14</w:t>
            </w:r>
            <w:r>
              <w:rPr>
                <w:rFonts w:eastAsia="仿宋;CESI仿宋-GB13000" w:cs="仿宋;CESI仿宋-GB13000" w:ascii="仿宋;CESI仿宋-GB13000" w:hAnsi="仿宋;CESI仿宋-GB13000"/>
                <w:sz w:val="28"/>
                <w:szCs w:val="28"/>
              </w:rPr>
              <w:t>.</w:t>
            </w:r>
            <w:r>
              <w:rPr>
                <w:rFonts w:ascii="仿宋;CESI仿宋-GB13000" w:hAnsi="仿宋;CESI仿宋-GB13000" w:cs="仿宋;CESI仿宋-GB13000" w:eastAsia="仿宋;CESI仿宋-GB13000"/>
                <w:sz w:val="28"/>
                <w:szCs w:val="28"/>
              </w:rPr>
              <w:t>理化检验结果</w:t>
            </w:r>
            <w:r>
              <w:rPr>
                <w:rFonts w:eastAsia="仿宋;CESI仿宋-GB13000" w:cs="仿宋;CESI仿宋-GB13000" w:ascii="仿宋;CESI仿宋-GB13000" w:hAnsi="仿宋;CESI仿宋-GB13000"/>
                <w:sz w:val="28"/>
                <w:szCs w:val="28"/>
              </w:rPr>
              <w:t>pH</w:t>
            </w:r>
            <w:r>
              <w:rPr>
                <w:rFonts w:ascii="仿宋;CESI仿宋-GB13000" w:hAnsi="仿宋;CESI仿宋-GB13000" w:cs="仿宋;CESI仿宋-GB13000" w:eastAsia="仿宋;CESI仿宋-GB13000"/>
                <w:sz w:val="28"/>
                <w:szCs w:val="28"/>
              </w:rPr>
              <w:t>值≤</w:t>
            </w:r>
            <w:r>
              <w:rPr>
                <w:rFonts w:eastAsia="仿宋;CESI仿宋-GB13000" w:cs="仿宋;CESI仿宋-GB13000" w:ascii="仿宋;CESI仿宋-GB13000" w:hAnsi="仿宋;CESI仿宋-GB13000"/>
                <w:sz w:val="28"/>
                <w:szCs w:val="28"/>
              </w:rPr>
              <w:t>3.5</w:t>
            </w:r>
            <w:r>
              <w:rPr>
                <w:rFonts w:ascii="仿宋;CESI仿宋-GB13000" w:hAnsi="仿宋;CESI仿宋-GB13000" w:cs="仿宋;CESI仿宋-GB13000" w:eastAsia="仿宋;CESI仿宋-GB13000"/>
                <w:sz w:val="28"/>
                <w:szCs w:val="28"/>
              </w:rPr>
              <w:t>或企业标准中设定</w:t>
            </w:r>
            <w:r>
              <w:rPr>
                <w:rFonts w:eastAsia="仿宋;CESI仿宋-GB13000" w:cs="仿宋;CESI仿宋-GB13000" w:ascii="仿宋;CESI仿宋-GB13000" w:hAnsi="仿宋;CESI仿宋-GB13000"/>
                <w:sz w:val="28"/>
                <w:szCs w:val="28"/>
              </w:rPr>
              <w:t>pH</w:t>
            </w:r>
            <w:r>
              <w:rPr>
                <w:rFonts w:ascii="仿宋;CESI仿宋-GB13000" w:hAnsi="仿宋;CESI仿宋-GB13000" w:cs="仿宋;CESI仿宋-GB13000" w:eastAsia="仿宋;CESI仿宋-GB13000"/>
                <w:sz w:val="28"/>
                <w:szCs w:val="28"/>
              </w:rPr>
              <w:t>值≤</w:t>
            </w:r>
            <w:r>
              <w:rPr>
                <w:rFonts w:eastAsia="仿宋;CESI仿宋-GB13000" w:cs="仿宋;CESI仿宋-GB13000" w:ascii="仿宋;CESI仿宋-GB13000" w:hAnsi="仿宋;CESI仿宋-GB13000"/>
                <w:sz w:val="28"/>
                <w:szCs w:val="28"/>
              </w:rPr>
              <w:t>3.5</w:t>
            </w:r>
            <w:r>
              <w:rPr>
                <w:rFonts w:ascii="仿宋;CESI仿宋-GB13000" w:hAnsi="仿宋;CESI仿宋-GB13000" w:cs="仿宋;CESI仿宋-GB13000" w:eastAsia="仿宋;CESI仿宋-GB13000"/>
                <w:sz w:val="28"/>
                <w:szCs w:val="28"/>
              </w:rPr>
              <w:t>的驻留类产品，以及宣称祛痘、抗皱、祛斑等功效的淋洗类产品，应填写人体检验报告编号。</w:t>
            </w:r>
          </w:p>
        </w:tc>
        <w:tc>
          <w:tcPr>
            <w:tcW w:w="2378"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520"/>
              <w:jc w:val="center"/>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t>□</w:t>
            </w:r>
            <w:r>
              <w:rPr>
                <w:rFonts w:ascii="仿宋_GB2312;方正仿宋_GBK" w:hAnsi="仿宋_GB2312;方正仿宋_GBK" w:cs="仿宋_GB2312;方正仿宋_GBK" w:eastAsia="仿宋_GB2312;方正仿宋_GBK"/>
                <w:sz w:val="28"/>
                <w:szCs w:val="28"/>
              </w:rPr>
              <w:t>符合 □不符合</w:t>
            </w:r>
          </w:p>
        </w:tc>
        <w:tc>
          <w:tcPr>
            <w:tcW w:w="85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360"/>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r>
          </w:p>
        </w:tc>
      </w:tr>
      <w:tr>
        <w:trPr>
          <w:trHeight w:val="90" w:hRule="atLeast"/>
        </w:trPr>
        <w:tc>
          <w:tcPr>
            <w:tcW w:w="79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方正仿宋_GB2312;方正仿宋_GBK" w:hAnsi="方正仿宋_GB2312;方正仿宋_GBK" w:eastAsia="方正仿宋_GB2312;方正仿宋_GBK" w:cs="方正仿宋_GB2312;方正仿宋_GBK"/>
                <w:sz w:val="28"/>
                <w:szCs w:val="28"/>
              </w:rPr>
            </w:pPr>
            <w:r>
              <w:rPr>
                <w:rFonts w:eastAsia="方正仿宋_GB2312;方正仿宋_GBK" w:cs="方正仿宋_GB2312;方正仿宋_GBK" w:ascii="方正仿宋_GB2312;方正仿宋_GBK" w:hAnsi="方正仿宋_GB2312;方正仿宋_GBK"/>
                <w:sz w:val="28"/>
                <w:szCs w:val="28"/>
              </w:rPr>
            </w:r>
          </w:p>
        </w:tc>
        <w:tc>
          <w:tcPr>
            <w:tcW w:w="223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黑体;方正黑体_GBK" w:hAnsi="黑体;方正黑体_GBK" w:eastAsia="黑体;方正黑体_GBK" w:cs="黑体;方正黑体_GBK"/>
                <w:kern w:val="0"/>
                <w:sz w:val="28"/>
                <w:szCs w:val="28"/>
              </w:rPr>
            </w:pPr>
            <w:r>
              <w:rPr>
                <w:rFonts w:eastAsia="黑体;方正黑体_GBK" w:cs="黑体;方正黑体_GBK" w:ascii="黑体;方正黑体_GBK" w:hAnsi="黑体;方正黑体_GBK"/>
                <w:kern w:val="0"/>
                <w:sz w:val="28"/>
                <w:szCs w:val="28"/>
              </w:rPr>
            </w:r>
          </w:p>
        </w:tc>
        <w:tc>
          <w:tcPr>
            <w:tcW w:w="15026" w:type="dxa"/>
            <w:tcBorders>
              <w:top w:val="single" w:sz="4" w:space="0" w:color="000000"/>
              <w:left w:val="single" w:sz="4" w:space="0" w:color="000000"/>
              <w:bottom w:val="single" w:sz="4" w:space="0" w:color="000000"/>
              <w:right w:val="single" w:sz="4" w:space="0" w:color="000000"/>
            </w:tcBorders>
          </w:tcPr>
          <w:p>
            <w:pPr>
              <w:pStyle w:val="ListParagraph"/>
              <w:overflowPunct w:val="false"/>
              <w:spacing w:lineRule="exact" w:line="400"/>
              <w:ind w:hanging="0"/>
              <w:rPr>
                <w:rFonts w:ascii="仿宋;CESI仿宋-GB13000" w:hAnsi="仿宋;CESI仿宋-GB13000" w:eastAsia="仿宋;CESI仿宋-GB13000" w:cs="仿宋;CESI仿宋-GB13000"/>
                <w:sz w:val="28"/>
                <w:szCs w:val="28"/>
              </w:rPr>
            </w:pPr>
            <w:r>
              <w:rPr>
                <w:rFonts w:eastAsia="仿宋;CESI仿宋-GB13000" w:cs="仿宋;CESI仿宋-GB13000" w:ascii="仿宋;CESI仿宋-GB13000" w:hAnsi="仿宋;CESI仿宋-GB13000"/>
                <w:sz w:val="28"/>
                <w:szCs w:val="28"/>
              </w:rPr>
              <w:t>15</w:t>
            </w:r>
            <w:r>
              <w:rPr>
                <w:rFonts w:eastAsia="仿宋;CESI仿宋-GB13000" w:cs="仿宋;CESI仿宋-GB13000" w:ascii="仿宋;CESI仿宋-GB13000" w:hAnsi="仿宋;CESI仿宋-GB13000"/>
                <w:sz w:val="28"/>
                <w:szCs w:val="28"/>
              </w:rPr>
              <w:t>.</w:t>
            </w:r>
            <w:r>
              <w:rPr>
                <w:rFonts w:ascii="仿宋;CESI仿宋-GB13000" w:hAnsi="仿宋;CESI仿宋-GB13000" w:cs="仿宋;CESI仿宋-GB13000" w:eastAsia="仿宋;CESI仿宋-GB13000"/>
                <w:sz w:val="28"/>
                <w:szCs w:val="28"/>
              </w:rPr>
              <w:t>产品注销后再次备案的，应提交相关情况说明产品注销的原因和再次备案的产品与原注销产品不一致的情况。</w:t>
            </w:r>
          </w:p>
        </w:tc>
        <w:tc>
          <w:tcPr>
            <w:tcW w:w="2378"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520"/>
              <w:jc w:val="center"/>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t>□</w:t>
            </w:r>
            <w:r>
              <w:rPr>
                <w:rFonts w:ascii="仿宋_GB2312;方正仿宋_GBK" w:hAnsi="仿宋_GB2312;方正仿宋_GBK" w:cs="仿宋_GB2312;方正仿宋_GBK" w:eastAsia="仿宋_GB2312;方正仿宋_GBK"/>
                <w:sz w:val="28"/>
                <w:szCs w:val="28"/>
              </w:rPr>
              <w:t>符合 □不符合</w:t>
            </w:r>
          </w:p>
        </w:tc>
        <w:tc>
          <w:tcPr>
            <w:tcW w:w="85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360"/>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r>
          </w:p>
        </w:tc>
      </w:tr>
      <w:tr>
        <w:trPr>
          <w:trHeight w:val="94" w:hRule="atLeast"/>
        </w:trPr>
        <w:tc>
          <w:tcPr>
            <w:tcW w:w="79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exact" w:line="360"/>
              <w:jc w:val="center"/>
              <w:rPr>
                <w:rFonts w:ascii="Arial;DejaVu Sans" w:hAnsi="Arial;DejaVu Sans" w:eastAsia="方正仿宋_GB2312;方正仿宋_GBK" w:cs="仿宋_GB2312;方正仿宋_GBK"/>
                <w:sz w:val="28"/>
                <w:szCs w:val="28"/>
                <w:lang w:eastAsia="zh-CN"/>
              </w:rPr>
            </w:pPr>
            <w:r>
              <w:rPr>
                <w:rFonts w:eastAsia="方正仿宋_GB2312;方正仿宋_GBK" w:cs="仿宋_GB2312;方正仿宋_GBK" w:ascii="Arial;DejaVu Sans" w:hAnsi="Arial;DejaVu Sans"/>
                <w:sz w:val="28"/>
                <w:szCs w:val="28"/>
                <w:lang w:val="en-US" w:eastAsia="zh-CN"/>
              </w:rPr>
              <w:t>2</w:t>
            </w:r>
          </w:p>
        </w:tc>
        <w:tc>
          <w:tcPr>
            <w:tcW w:w="223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exact" w:line="360"/>
              <w:jc w:val="center"/>
              <w:rPr>
                <w:rFonts w:ascii="Arial;DejaVu Sans" w:hAnsi="Arial;DejaVu Sans" w:eastAsia="方正仿宋_GB2312;方正仿宋_GBK" w:cs="仿宋_GB2312;方正仿宋_GBK"/>
                <w:sz w:val="28"/>
                <w:szCs w:val="28"/>
              </w:rPr>
            </w:pPr>
            <w:r>
              <w:rPr>
                <w:rFonts w:ascii="Arial;DejaVu Sans" w:hAnsi="Arial;DejaVu Sans" w:cs="仿宋_GB2312;方正仿宋_GBK" w:eastAsia="方正仿宋_GB2312;方正仿宋_GBK"/>
                <w:sz w:val="28"/>
                <w:szCs w:val="28"/>
              </w:rPr>
              <w:t>【产品名称命名依据】</w:t>
            </w:r>
          </w:p>
        </w:tc>
        <w:tc>
          <w:tcPr>
            <w:tcW w:w="15026" w:type="dxa"/>
            <w:tcBorders>
              <w:top w:val="single" w:sz="4" w:space="0" w:color="000000"/>
              <w:left w:val="single" w:sz="4" w:space="0" w:color="000000"/>
              <w:bottom w:val="single" w:sz="4" w:space="0" w:color="000000"/>
              <w:right w:val="single" w:sz="4" w:space="0" w:color="000000"/>
            </w:tcBorders>
          </w:tcPr>
          <w:p>
            <w:pPr>
              <w:pStyle w:val="ListParagraph"/>
              <w:overflowPunct w:val="false"/>
              <w:snapToGrid w:val="false"/>
              <w:spacing w:lineRule="exact" w:line="400"/>
              <w:ind w:hanging="0"/>
              <w:rPr>
                <w:rFonts w:ascii="仿宋;CESI仿宋-GB13000" w:hAnsi="仿宋;CESI仿宋-GB13000" w:eastAsia="仿宋;CESI仿宋-GB13000" w:cs="仿宋;CESI仿宋-GB13000"/>
                <w:kern w:val="2"/>
                <w:sz w:val="28"/>
                <w:szCs w:val="28"/>
                <w:lang w:bidi="ar-SA"/>
              </w:rPr>
            </w:pPr>
            <w:r>
              <w:rPr>
                <w:rFonts w:eastAsia="仿宋;CESI仿宋-GB13000" w:cs="仿宋;CESI仿宋-GB13000" w:ascii="仿宋;CESI仿宋-GB13000" w:hAnsi="仿宋;CESI仿宋-GB13000"/>
                <w:b w:val="false"/>
                <w:bCs w:val="false"/>
                <w:sz w:val="28"/>
                <w:szCs w:val="28"/>
                <w:lang w:bidi="ar-SA"/>
              </w:rPr>
              <w:t>1.</w:t>
            </w:r>
            <w:r>
              <w:rPr>
                <w:rFonts w:ascii="仿宋;CESI仿宋-GB13000" w:hAnsi="仿宋;CESI仿宋-GB13000" w:cs="仿宋;CESI仿宋-GB13000" w:eastAsia="仿宋;CESI仿宋-GB13000"/>
                <w:b w:val="false"/>
                <w:bCs w:val="false"/>
                <w:sz w:val="28"/>
                <w:szCs w:val="28"/>
                <w:lang w:bidi="ar-SA"/>
              </w:rPr>
              <w:t>商标名：</w:t>
            </w:r>
            <w:r>
              <w:rPr>
                <w:rFonts w:eastAsia="仿宋;CESI仿宋-GB13000" w:cs="仿宋;CESI仿宋-GB13000" w:ascii="仿宋;CESI仿宋-GB13000" w:hAnsi="仿宋;CESI仿宋-GB13000"/>
                <w:b w:val="false"/>
                <w:bCs w:val="false"/>
                <w:sz w:val="28"/>
                <w:szCs w:val="28"/>
                <w:lang w:bidi="ar-SA"/>
              </w:rPr>
              <w:t>1</w:t>
            </w:r>
            <w:r>
              <w:rPr>
                <w:rFonts w:ascii="仿宋;CESI仿宋-GB13000" w:hAnsi="仿宋;CESI仿宋-GB13000" w:cs="仿宋;CESI仿宋-GB13000" w:eastAsia="仿宋;CESI仿宋-GB13000"/>
                <w:b w:val="false"/>
                <w:bCs w:val="false"/>
                <w:sz w:val="28"/>
                <w:szCs w:val="28"/>
                <w:lang w:bidi="ar-SA"/>
              </w:rPr>
              <w:t>）使用外文、字母、汉语拼音、数字、符号等作为商标名的，应提供有效期内的商标注册证，并在产品销售包装可视面上使用规范汉字对其含义予以解释说明；商标注册人与备案人不一致的，还应提供商标授权备案人使用的证明文件。</w:t>
            </w:r>
            <w:r>
              <w:rPr>
                <w:rFonts w:eastAsia="仿宋;CESI仿宋-GB13000" w:cs="仿宋;CESI仿宋-GB13000" w:ascii="仿宋;CESI仿宋-GB13000" w:hAnsi="仿宋;CESI仿宋-GB13000"/>
                <w:b w:val="false"/>
                <w:bCs w:val="false"/>
                <w:sz w:val="28"/>
                <w:szCs w:val="28"/>
                <w:lang w:bidi="ar-SA"/>
              </w:rPr>
              <w:t>2</w:t>
            </w:r>
            <w:r>
              <w:rPr>
                <w:rFonts w:ascii="仿宋;CESI仿宋-GB13000" w:hAnsi="仿宋;CESI仿宋-GB13000" w:cs="仿宋;CESI仿宋-GB13000" w:eastAsia="仿宋;CESI仿宋-GB13000"/>
                <w:b w:val="false"/>
                <w:bCs w:val="false"/>
                <w:sz w:val="28"/>
                <w:szCs w:val="28"/>
                <w:lang w:bidi="ar-SA"/>
              </w:rPr>
              <w:t>）以暗示含有某类原料的用语作为商标名，产品配方中含有该类原料的，应当在销售包装可视面对其使用目的进行说明；产品配方不含有该类原料的，应当在销售包装可视面明确标注产品不含该类原料，相关用语仅作商标名使用。</w:t>
            </w:r>
            <w:r>
              <w:rPr>
                <w:rFonts w:eastAsia="仿宋;CESI仿宋-GB13000" w:cs="仿宋;CESI仿宋-GB13000" w:ascii="仿宋;CESI仿宋-GB13000" w:hAnsi="仿宋;CESI仿宋-GB13000"/>
                <w:b w:val="false"/>
                <w:bCs w:val="false"/>
                <w:sz w:val="28"/>
                <w:szCs w:val="28"/>
                <w:lang w:bidi="ar-SA"/>
              </w:rPr>
              <w:t>3</w:t>
            </w:r>
            <w:r>
              <w:rPr>
                <w:rFonts w:ascii="仿宋;CESI仿宋-GB13000" w:hAnsi="仿宋;CESI仿宋-GB13000" w:cs="仿宋;CESI仿宋-GB13000" w:eastAsia="仿宋;CESI仿宋-GB13000"/>
                <w:b w:val="false"/>
                <w:bCs w:val="false"/>
                <w:sz w:val="28"/>
                <w:szCs w:val="28"/>
                <w:lang w:bidi="ar-SA"/>
              </w:rPr>
              <w:t>）销售包装标签宣称或备案系统宣称商标名为注册商标的，应当上传备案人合法使用商标的证明文件，如商标注册证、商标使用授权书等。</w:t>
            </w:r>
            <w:r>
              <w:rPr>
                <w:rFonts w:eastAsia="仿宋;CESI仿宋-GB13000" w:cs="仿宋;CESI仿宋-GB13000" w:ascii="仿宋;CESI仿宋-GB13000" w:hAnsi="仿宋;CESI仿宋-GB13000"/>
                <w:b w:val="false"/>
                <w:bCs w:val="false"/>
                <w:sz w:val="28"/>
                <w:szCs w:val="28"/>
                <w:lang w:bidi="ar-SA"/>
              </w:rPr>
              <w:t>4</w:t>
            </w:r>
            <w:r>
              <w:rPr>
                <w:rFonts w:ascii="仿宋;CESI仿宋-GB13000" w:hAnsi="仿宋;CESI仿宋-GB13000" w:cs="仿宋;CESI仿宋-GB13000" w:eastAsia="仿宋;CESI仿宋-GB13000"/>
                <w:b w:val="false"/>
                <w:bCs w:val="false"/>
                <w:sz w:val="28"/>
                <w:szCs w:val="28"/>
                <w:lang w:bidi="ar-SA"/>
              </w:rPr>
              <w:t>）不得以商标名的形式宣称医疗效果或者产品不具备的功效。</w:t>
            </w:r>
          </w:p>
        </w:tc>
        <w:tc>
          <w:tcPr>
            <w:tcW w:w="2378"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520"/>
              <w:jc w:val="center"/>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t>□</w:t>
            </w:r>
            <w:r>
              <w:rPr>
                <w:rFonts w:ascii="仿宋_GB2312;方正仿宋_GBK" w:hAnsi="仿宋_GB2312;方正仿宋_GBK" w:cs="仿宋_GB2312;方正仿宋_GBK" w:eastAsia="仿宋_GB2312;方正仿宋_GBK"/>
                <w:sz w:val="28"/>
                <w:szCs w:val="28"/>
              </w:rPr>
              <w:t>符合 □不符合</w:t>
            </w:r>
          </w:p>
        </w:tc>
        <w:tc>
          <w:tcPr>
            <w:tcW w:w="85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360"/>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r>
          </w:p>
        </w:tc>
      </w:tr>
      <w:tr>
        <w:trPr>
          <w:trHeight w:val="1797" w:hRule="atLeast"/>
        </w:trPr>
        <w:tc>
          <w:tcPr>
            <w:tcW w:w="79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Arial;DejaVu Sans" w:hAnsi="Arial;DejaVu Sans" w:eastAsia="方正仿宋_GB2312;方正仿宋_GBK" w:cs="仿宋_GB2312;方正仿宋_GBK"/>
                <w:sz w:val="28"/>
                <w:szCs w:val="28"/>
              </w:rPr>
            </w:pPr>
            <w:r>
              <w:rPr>
                <w:rFonts w:eastAsia="方正仿宋_GB2312;方正仿宋_GBK" w:cs="仿宋_GB2312;方正仿宋_GBK" w:ascii="Arial;DejaVu Sans" w:hAnsi="Arial;DejaVu Sans"/>
                <w:sz w:val="28"/>
                <w:szCs w:val="28"/>
              </w:rPr>
            </w:r>
          </w:p>
        </w:tc>
        <w:tc>
          <w:tcPr>
            <w:tcW w:w="223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Arial;DejaVu Sans" w:hAnsi="Arial;DejaVu Sans" w:eastAsia="方正仿宋_GB2312;方正仿宋_GBK" w:cs="仿宋_GB2312;方正仿宋_GBK"/>
                <w:sz w:val="28"/>
                <w:szCs w:val="28"/>
              </w:rPr>
            </w:pPr>
            <w:r>
              <w:rPr>
                <w:rFonts w:eastAsia="方正仿宋_GB2312;方正仿宋_GBK" w:cs="仿宋_GB2312;方正仿宋_GBK" w:ascii="Arial;DejaVu Sans" w:hAnsi="Arial;DejaVu Sans"/>
                <w:sz w:val="28"/>
                <w:szCs w:val="28"/>
              </w:rPr>
            </w:r>
          </w:p>
        </w:tc>
        <w:tc>
          <w:tcPr>
            <w:tcW w:w="15026" w:type="dxa"/>
            <w:tcBorders>
              <w:top w:val="single" w:sz="4" w:space="0" w:color="000000"/>
              <w:left w:val="single" w:sz="4" w:space="0" w:color="000000"/>
              <w:bottom w:val="single" w:sz="4" w:space="0" w:color="000000"/>
              <w:right w:val="single" w:sz="4" w:space="0" w:color="000000"/>
            </w:tcBorders>
          </w:tcPr>
          <w:p>
            <w:pPr>
              <w:pStyle w:val="ListParagraph"/>
              <w:overflowPunct w:val="false"/>
              <w:snapToGrid w:val="false"/>
              <w:spacing w:lineRule="exact" w:line="400"/>
              <w:ind w:hanging="0"/>
              <w:rPr>
                <w:rFonts w:ascii="仿宋;CESI仿宋-GB13000" w:hAnsi="仿宋;CESI仿宋-GB13000" w:eastAsia="仿宋;CESI仿宋-GB13000" w:cs="仿宋;CESI仿宋-GB13000"/>
                <w:sz w:val="28"/>
                <w:szCs w:val="28"/>
              </w:rPr>
            </w:pPr>
            <w:r>
              <w:rPr>
                <w:rFonts w:eastAsia="仿宋;CESI仿宋-GB13000" w:cs="仿宋;CESI仿宋-GB13000" w:ascii="仿宋;CESI仿宋-GB13000" w:hAnsi="仿宋;CESI仿宋-GB13000"/>
                <w:kern w:val="2"/>
                <w:sz w:val="28"/>
                <w:szCs w:val="28"/>
              </w:rPr>
              <w:t>2.</w:t>
            </w:r>
            <w:r>
              <w:rPr>
                <w:rFonts w:ascii="仿宋;CESI仿宋-GB13000" w:hAnsi="仿宋;CESI仿宋-GB13000" w:cs="仿宋;CESI仿宋-GB13000" w:eastAsia="仿宋;CESI仿宋-GB13000"/>
                <w:kern w:val="2"/>
                <w:sz w:val="28"/>
                <w:szCs w:val="28"/>
              </w:rPr>
              <w:t>通用名：</w:t>
            </w:r>
            <w:r>
              <w:rPr>
                <w:rFonts w:eastAsia="仿宋;CESI仿宋-GB13000" w:cs="仿宋;CESI仿宋-GB13000" w:ascii="仿宋;CESI仿宋-GB13000" w:hAnsi="仿宋;CESI仿宋-GB13000"/>
                <w:kern w:val="2"/>
                <w:sz w:val="28"/>
                <w:szCs w:val="28"/>
              </w:rPr>
              <w:t>1</w:t>
            </w:r>
            <w:r>
              <w:rPr>
                <w:rFonts w:ascii="仿宋;CESI仿宋-GB13000" w:hAnsi="仿宋;CESI仿宋-GB13000" w:cs="仿宋;CESI仿宋-GB13000" w:eastAsia="仿宋;CESI仿宋-GB13000"/>
                <w:kern w:val="2"/>
                <w:sz w:val="28"/>
                <w:szCs w:val="28"/>
              </w:rPr>
              <w:t>）使用具体原料名称或者表明原料类别的词汇的，应当与产品配方成分相符，且该原料在产品中产生的功效作用应当与产品功效宣称相符。</w:t>
            </w:r>
            <w:r>
              <w:rPr>
                <w:rFonts w:eastAsia="仿宋;CESI仿宋-GB13000" w:cs="仿宋;CESI仿宋-GB13000" w:ascii="仿宋;CESI仿宋-GB13000" w:hAnsi="仿宋;CESI仿宋-GB13000"/>
                <w:kern w:val="2"/>
                <w:sz w:val="28"/>
                <w:szCs w:val="28"/>
              </w:rPr>
              <w:t>2</w:t>
            </w:r>
            <w:r>
              <w:rPr>
                <w:rFonts w:ascii="仿宋;CESI仿宋-GB13000" w:hAnsi="仿宋;CESI仿宋-GB13000" w:cs="仿宋;CESI仿宋-GB13000" w:eastAsia="仿宋;CESI仿宋-GB13000"/>
                <w:kern w:val="2"/>
                <w:sz w:val="28"/>
                <w:szCs w:val="28"/>
              </w:rPr>
              <w:t>）使用动物、植物或者矿物等名称描述产品的香型、颜色或者形状的，配方中可以不含此原料，命名时可以在通用名中采用动物、植物或者矿物等名称加香型、颜色或者形状的形式，也可以在属性名后加以注明。</w:t>
            </w:r>
            <w:r>
              <w:rPr>
                <w:rFonts w:eastAsia="仿宋;CESI仿宋-GB13000" w:cs="仿宋;CESI仿宋-GB13000" w:ascii="仿宋;CESI仿宋-GB13000" w:hAnsi="仿宋;CESI仿宋-GB13000"/>
                <w:kern w:val="2"/>
                <w:sz w:val="28"/>
                <w:szCs w:val="28"/>
              </w:rPr>
              <w:t>3</w:t>
            </w:r>
            <w:r>
              <w:rPr>
                <w:rFonts w:ascii="仿宋;CESI仿宋-GB13000" w:hAnsi="仿宋;CESI仿宋-GB13000" w:cs="仿宋;CESI仿宋-GB13000" w:eastAsia="仿宋;CESI仿宋-GB13000"/>
                <w:kern w:val="2"/>
                <w:sz w:val="28"/>
                <w:szCs w:val="28"/>
              </w:rPr>
              <w:t>）通用名应当准确、客观，可以是表明产品原料或者描述产品用途、使用部位等的文字。</w:t>
            </w:r>
          </w:p>
        </w:tc>
        <w:tc>
          <w:tcPr>
            <w:tcW w:w="2378"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520"/>
              <w:jc w:val="center"/>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t>□</w:t>
            </w:r>
            <w:r>
              <w:rPr>
                <w:rFonts w:ascii="仿宋_GB2312;方正仿宋_GBK" w:hAnsi="仿宋_GB2312;方正仿宋_GBK" w:cs="仿宋_GB2312;方正仿宋_GBK" w:eastAsia="仿宋_GB2312;方正仿宋_GBK"/>
                <w:sz w:val="28"/>
                <w:szCs w:val="28"/>
              </w:rPr>
              <w:t>符合 □不符合</w:t>
            </w:r>
          </w:p>
        </w:tc>
        <w:tc>
          <w:tcPr>
            <w:tcW w:w="85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360"/>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r>
          </w:p>
        </w:tc>
      </w:tr>
      <w:tr>
        <w:trPr>
          <w:trHeight w:val="90" w:hRule="atLeast"/>
        </w:trPr>
        <w:tc>
          <w:tcPr>
            <w:tcW w:w="79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Arial;DejaVu Sans" w:hAnsi="Arial;DejaVu Sans" w:eastAsia="方正仿宋_GB2312;方正仿宋_GBK" w:cs="仿宋_GB2312;方正仿宋_GBK"/>
                <w:sz w:val="28"/>
                <w:szCs w:val="28"/>
              </w:rPr>
            </w:pPr>
            <w:r>
              <w:rPr>
                <w:rFonts w:eastAsia="方正仿宋_GB2312;方正仿宋_GBK" w:cs="仿宋_GB2312;方正仿宋_GBK" w:ascii="Arial;DejaVu Sans" w:hAnsi="Arial;DejaVu Sans"/>
                <w:sz w:val="28"/>
                <w:szCs w:val="28"/>
              </w:rPr>
            </w:r>
          </w:p>
        </w:tc>
        <w:tc>
          <w:tcPr>
            <w:tcW w:w="223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Arial;DejaVu Sans" w:hAnsi="Arial;DejaVu Sans" w:eastAsia="方正仿宋_GB2312;方正仿宋_GBK" w:cs="仿宋_GB2312;方正仿宋_GBK"/>
                <w:sz w:val="28"/>
                <w:szCs w:val="28"/>
              </w:rPr>
            </w:pPr>
            <w:r>
              <w:rPr>
                <w:rFonts w:eastAsia="方正仿宋_GB2312;方正仿宋_GBK" w:cs="仿宋_GB2312;方正仿宋_GBK" w:ascii="Arial;DejaVu Sans" w:hAnsi="Arial;DejaVu Sans"/>
                <w:sz w:val="28"/>
                <w:szCs w:val="28"/>
              </w:rPr>
            </w:r>
          </w:p>
        </w:tc>
        <w:tc>
          <w:tcPr>
            <w:tcW w:w="15026" w:type="dxa"/>
            <w:tcBorders>
              <w:top w:val="single" w:sz="4" w:space="0" w:color="000000"/>
              <w:left w:val="single" w:sz="4" w:space="0" w:color="000000"/>
              <w:bottom w:val="single" w:sz="4" w:space="0" w:color="000000"/>
              <w:right w:val="single" w:sz="4" w:space="0" w:color="000000"/>
            </w:tcBorders>
          </w:tcPr>
          <w:p>
            <w:pPr>
              <w:pStyle w:val="ListParagraph"/>
              <w:overflowPunct w:val="false"/>
              <w:snapToGrid w:val="false"/>
              <w:spacing w:lineRule="exact" w:line="400"/>
              <w:ind w:hanging="0"/>
              <w:rPr>
                <w:rFonts w:ascii="仿宋;CESI仿宋-GB13000" w:hAnsi="仿宋;CESI仿宋-GB13000" w:eastAsia="仿宋;CESI仿宋-GB13000" w:cs="仿宋;CESI仿宋-GB13000"/>
                <w:sz w:val="28"/>
                <w:szCs w:val="28"/>
                <w:lang w:eastAsia="zh-CN"/>
              </w:rPr>
            </w:pPr>
            <w:r>
              <w:rPr>
                <w:rFonts w:eastAsia="仿宋;CESI仿宋-GB13000" w:cs="仿宋;CESI仿宋-GB13000" w:ascii="仿宋;CESI仿宋-GB13000" w:hAnsi="仿宋;CESI仿宋-GB13000"/>
                <w:kern w:val="2"/>
                <w:sz w:val="28"/>
                <w:szCs w:val="28"/>
              </w:rPr>
              <w:t>3.</w:t>
            </w:r>
            <w:r>
              <w:rPr>
                <w:rFonts w:ascii="仿宋;CESI仿宋-GB13000" w:hAnsi="仿宋;CESI仿宋-GB13000" w:cs="仿宋;CESI仿宋-GB13000" w:eastAsia="仿宋;CESI仿宋-GB13000"/>
                <w:kern w:val="2"/>
                <w:sz w:val="28"/>
                <w:szCs w:val="28"/>
              </w:rPr>
              <w:t>属性名：应当表明产品真实的物理性状或者形态，如：水、液、乳、膏、霜、粉等。属性名应与产品剂型、产品执行的标准中的性状对应。</w:t>
            </w:r>
          </w:p>
        </w:tc>
        <w:tc>
          <w:tcPr>
            <w:tcW w:w="2378"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520"/>
              <w:jc w:val="center"/>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t>□</w:t>
            </w:r>
            <w:r>
              <w:rPr>
                <w:rFonts w:ascii="仿宋_GB2312;方正仿宋_GBK" w:hAnsi="仿宋_GB2312;方正仿宋_GBK" w:cs="仿宋_GB2312;方正仿宋_GBK" w:eastAsia="仿宋_GB2312;方正仿宋_GBK"/>
                <w:sz w:val="28"/>
                <w:szCs w:val="28"/>
              </w:rPr>
              <w:t>符合 □不符合</w:t>
            </w:r>
          </w:p>
        </w:tc>
        <w:tc>
          <w:tcPr>
            <w:tcW w:w="85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360"/>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r>
          </w:p>
        </w:tc>
      </w:tr>
      <w:tr>
        <w:trPr>
          <w:trHeight w:val="90" w:hRule="atLeast"/>
        </w:trPr>
        <w:tc>
          <w:tcPr>
            <w:tcW w:w="79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Arial;DejaVu Sans" w:hAnsi="Arial;DejaVu Sans" w:eastAsia="方正仿宋_GB2312;方正仿宋_GBK" w:cs="仿宋_GB2312;方正仿宋_GBK"/>
                <w:sz w:val="28"/>
                <w:szCs w:val="28"/>
              </w:rPr>
            </w:pPr>
            <w:r>
              <w:rPr>
                <w:rFonts w:eastAsia="方正仿宋_GB2312;方正仿宋_GBK" w:cs="仿宋_GB2312;方正仿宋_GBK" w:ascii="Arial;DejaVu Sans" w:hAnsi="Arial;DejaVu Sans"/>
                <w:sz w:val="28"/>
                <w:szCs w:val="28"/>
              </w:rPr>
            </w:r>
          </w:p>
        </w:tc>
        <w:tc>
          <w:tcPr>
            <w:tcW w:w="223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Arial;DejaVu Sans" w:hAnsi="Arial;DejaVu Sans" w:eastAsia="方正仿宋_GB2312;方正仿宋_GBK" w:cs="仿宋_GB2312;方正仿宋_GBK"/>
                <w:sz w:val="28"/>
                <w:szCs w:val="28"/>
              </w:rPr>
            </w:pPr>
            <w:r>
              <w:rPr>
                <w:rFonts w:eastAsia="方正仿宋_GB2312;方正仿宋_GBK" w:cs="仿宋_GB2312;方正仿宋_GBK" w:ascii="Arial;DejaVu Sans" w:hAnsi="Arial;DejaVu Sans"/>
                <w:sz w:val="28"/>
                <w:szCs w:val="28"/>
              </w:rPr>
            </w:r>
          </w:p>
        </w:tc>
        <w:tc>
          <w:tcPr>
            <w:tcW w:w="15026" w:type="dxa"/>
            <w:tcBorders>
              <w:top w:val="single" w:sz="4" w:space="0" w:color="000000"/>
              <w:left w:val="single" w:sz="4" w:space="0" w:color="000000"/>
              <w:bottom w:val="single" w:sz="4" w:space="0" w:color="000000"/>
              <w:right w:val="single" w:sz="4" w:space="0" w:color="000000"/>
            </w:tcBorders>
          </w:tcPr>
          <w:p>
            <w:pPr>
              <w:pStyle w:val="ListParagraph"/>
              <w:overflowPunct w:val="false"/>
              <w:snapToGrid w:val="false"/>
              <w:spacing w:lineRule="exact" w:line="400"/>
              <w:ind w:hanging="0"/>
              <w:jc w:val="left"/>
              <w:rPr>
                <w:rFonts w:ascii="仿宋;CESI仿宋-GB13000" w:hAnsi="仿宋;CESI仿宋-GB13000" w:eastAsia="仿宋;CESI仿宋-GB13000" w:cs="仿宋;CESI仿宋-GB13000"/>
                <w:sz w:val="28"/>
                <w:szCs w:val="28"/>
              </w:rPr>
            </w:pPr>
            <w:r>
              <w:rPr>
                <w:rFonts w:eastAsia="仿宋;CESI仿宋-GB13000" w:cs="仿宋;CESI仿宋-GB13000" w:ascii="仿宋;CESI仿宋-GB13000" w:hAnsi="仿宋;CESI仿宋-GB13000"/>
                <w:sz w:val="28"/>
                <w:szCs w:val="28"/>
              </w:rPr>
              <w:t>4.</w:t>
            </w:r>
            <w:r>
              <w:rPr>
                <w:rFonts w:ascii="仿宋;CESI仿宋-GB13000" w:hAnsi="仿宋;CESI仿宋-GB13000" w:cs="仿宋;CESI仿宋-GB13000" w:eastAsia="仿宋;CESI仿宋-GB13000"/>
                <w:sz w:val="28"/>
                <w:szCs w:val="28"/>
              </w:rPr>
              <w:t>后缀：不同产品的商标名、通用名、属性名相同时，其他需要标注的内容应当在属性名后加以注明（即后缀），包括颜色或者色号、气味、适用发质、肤质或者特定人群等内容。</w:t>
            </w:r>
          </w:p>
        </w:tc>
        <w:tc>
          <w:tcPr>
            <w:tcW w:w="2378"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520"/>
              <w:jc w:val="center"/>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t>□</w:t>
            </w:r>
            <w:r>
              <w:rPr>
                <w:rFonts w:ascii="仿宋_GB2312;方正仿宋_GBK" w:hAnsi="仿宋_GB2312;方正仿宋_GBK" w:cs="仿宋_GB2312;方正仿宋_GBK" w:eastAsia="仿宋_GB2312;方正仿宋_GBK"/>
                <w:sz w:val="28"/>
                <w:szCs w:val="28"/>
              </w:rPr>
              <w:t>符合 □不符合</w:t>
            </w:r>
          </w:p>
        </w:tc>
        <w:tc>
          <w:tcPr>
            <w:tcW w:w="85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360"/>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r>
          </w:p>
        </w:tc>
      </w:tr>
      <w:tr>
        <w:trPr>
          <w:trHeight w:val="334" w:hRule="atLeast"/>
        </w:trPr>
        <w:tc>
          <w:tcPr>
            <w:tcW w:w="79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Arial;DejaVu Sans" w:hAnsi="Arial;DejaVu Sans" w:eastAsia="方正仿宋_GB2312;方正仿宋_GBK" w:cs="仿宋_GB2312;方正仿宋_GBK"/>
                <w:sz w:val="28"/>
                <w:szCs w:val="28"/>
              </w:rPr>
            </w:pPr>
            <w:r>
              <w:rPr>
                <w:rFonts w:eastAsia="方正仿宋_GB2312;方正仿宋_GBK" w:cs="仿宋_GB2312;方正仿宋_GBK" w:ascii="Arial;DejaVu Sans" w:hAnsi="Arial;DejaVu Sans"/>
                <w:sz w:val="28"/>
                <w:szCs w:val="28"/>
              </w:rPr>
            </w:r>
          </w:p>
        </w:tc>
        <w:tc>
          <w:tcPr>
            <w:tcW w:w="223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Arial;DejaVu Sans" w:hAnsi="Arial;DejaVu Sans" w:eastAsia="方正仿宋_GB2312;方正仿宋_GBK" w:cs="仿宋_GB2312;方正仿宋_GBK"/>
                <w:sz w:val="28"/>
                <w:szCs w:val="28"/>
              </w:rPr>
            </w:pPr>
            <w:r>
              <w:rPr>
                <w:rFonts w:eastAsia="方正仿宋_GB2312;方正仿宋_GBK" w:cs="仿宋_GB2312;方正仿宋_GBK" w:ascii="Arial;DejaVu Sans" w:hAnsi="Arial;DejaVu Sans"/>
                <w:sz w:val="28"/>
                <w:szCs w:val="28"/>
              </w:rPr>
            </w:r>
          </w:p>
        </w:tc>
        <w:tc>
          <w:tcPr>
            <w:tcW w:w="15026" w:type="dxa"/>
            <w:tcBorders>
              <w:top w:val="single" w:sz="4" w:space="0" w:color="000000"/>
              <w:left w:val="single" w:sz="4" w:space="0" w:color="000000"/>
              <w:bottom w:val="single" w:sz="4" w:space="0" w:color="000000"/>
              <w:right w:val="single" w:sz="4" w:space="0" w:color="000000"/>
            </w:tcBorders>
          </w:tcPr>
          <w:p>
            <w:pPr>
              <w:pStyle w:val="ListParagraph"/>
              <w:overflowPunct w:val="false"/>
              <w:snapToGrid w:val="false"/>
              <w:spacing w:lineRule="exact" w:line="400"/>
              <w:ind w:hanging="0"/>
              <w:jc w:val="left"/>
              <w:rPr>
                <w:rFonts w:ascii="仿宋;CESI仿宋-GB13000" w:hAnsi="仿宋;CESI仿宋-GB13000" w:eastAsia="仿宋;CESI仿宋-GB13000" w:cs="仿宋;CESI仿宋-GB13000"/>
                <w:sz w:val="28"/>
                <w:szCs w:val="28"/>
              </w:rPr>
            </w:pPr>
            <w:r>
              <w:rPr>
                <w:rFonts w:eastAsia="仿宋;CESI仿宋-GB13000" w:cs="仿宋;CESI仿宋-GB13000" w:ascii="仿宋;CESI仿宋-GB13000" w:hAnsi="仿宋;CESI仿宋-GB13000"/>
                <w:sz w:val="28"/>
                <w:szCs w:val="28"/>
              </w:rPr>
              <w:t>5.</w:t>
            </w:r>
            <w:r>
              <w:rPr>
                <w:rFonts w:ascii="仿宋;CESI仿宋-GB13000" w:hAnsi="仿宋;CESI仿宋-GB13000" w:cs="仿宋;CESI仿宋-GB13000" w:eastAsia="仿宋;CESI仿宋-GB13000"/>
                <w:sz w:val="28"/>
                <w:szCs w:val="28"/>
              </w:rPr>
              <w:t>商标名、通用名或者属性名组合使用时，可能使消费者对产品功效产生歧义的，应当在销售包装可视面予以解释说明。</w:t>
            </w:r>
          </w:p>
        </w:tc>
        <w:tc>
          <w:tcPr>
            <w:tcW w:w="2378"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520"/>
              <w:jc w:val="center"/>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t>□</w:t>
            </w:r>
            <w:r>
              <w:rPr>
                <w:rFonts w:ascii="仿宋_GB2312;方正仿宋_GBK" w:hAnsi="仿宋_GB2312;方正仿宋_GBK" w:cs="仿宋_GB2312;方正仿宋_GBK" w:eastAsia="仿宋_GB2312;方正仿宋_GBK"/>
                <w:sz w:val="28"/>
                <w:szCs w:val="28"/>
              </w:rPr>
              <w:t>符合 □不符合</w:t>
            </w:r>
          </w:p>
        </w:tc>
        <w:tc>
          <w:tcPr>
            <w:tcW w:w="85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360"/>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r>
          </w:p>
        </w:tc>
      </w:tr>
      <w:tr>
        <w:trPr>
          <w:trHeight w:val="296" w:hRule="atLeast"/>
        </w:trPr>
        <w:tc>
          <w:tcPr>
            <w:tcW w:w="79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Arial;DejaVu Sans" w:hAnsi="Arial;DejaVu Sans" w:eastAsia="方正仿宋_GB2312;方正仿宋_GBK" w:cs="仿宋_GB2312;方正仿宋_GBK"/>
                <w:sz w:val="28"/>
                <w:szCs w:val="28"/>
              </w:rPr>
            </w:pPr>
            <w:r>
              <w:rPr>
                <w:rFonts w:eastAsia="方正仿宋_GB2312;方正仿宋_GBK" w:cs="仿宋_GB2312;方正仿宋_GBK" w:ascii="Arial;DejaVu Sans" w:hAnsi="Arial;DejaVu Sans"/>
                <w:sz w:val="28"/>
                <w:szCs w:val="28"/>
              </w:rPr>
            </w:r>
          </w:p>
        </w:tc>
        <w:tc>
          <w:tcPr>
            <w:tcW w:w="223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Arial;DejaVu Sans" w:hAnsi="Arial;DejaVu Sans" w:eastAsia="方正仿宋_GB2312;方正仿宋_GBK" w:cs="仿宋_GB2312;方正仿宋_GBK"/>
                <w:sz w:val="28"/>
                <w:szCs w:val="28"/>
              </w:rPr>
            </w:pPr>
            <w:r>
              <w:rPr>
                <w:rFonts w:eastAsia="方正仿宋_GB2312;方正仿宋_GBK" w:cs="仿宋_GB2312;方正仿宋_GBK" w:ascii="Arial;DejaVu Sans" w:hAnsi="Arial;DejaVu Sans"/>
                <w:sz w:val="28"/>
                <w:szCs w:val="28"/>
              </w:rPr>
            </w:r>
          </w:p>
        </w:tc>
        <w:tc>
          <w:tcPr>
            <w:tcW w:w="15026" w:type="dxa"/>
            <w:tcBorders>
              <w:top w:val="single" w:sz="4" w:space="0" w:color="000000"/>
              <w:left w:val="single" w:sz="4" w:space="0" w:color="000000"/>
              <w:bottom w:val="single" w:sz="4" w:space="0" w:color="000000"/>
              <w:right w:val="single" w:sz="4" w:space="0" w:color="000000"/>
            </w:tcBorders>
          </w:tcPr>
          <w:p>
            <w:pPr>
              <w:pStyle w:val="ListParagraph"/>
              <w:overflowPunct w:val="false"/>
              <w:snapToGrid w:val="false"/>
              <w:spacing w:lineRule="exact" w:line="400"/>
              <w:ind w:hanging="0"/>
              <w:jc w:val="left"/>
              <w:rPr>
                <w:rFonts w:ascii="仿宋;CESI仿宋-GB13000" w:hAnsi="仿宋;CESI仿宋-GB13000" w:eastAsia="仿宋;CESI仿宋-GB13000" w:cs="仿宋;CESI仿宋-GB13000"/>
                <w:sz w:val="28"/>
                <w:szCs w:val="28"/>
              </w:rPr>
            </w:pPr>
            <w:r>
              <w:rPr>
                <w:rFonts w:eastAsia="仿宋;CESI仿宋-GB13000" w:cs="仿宋;CESI仿宋-GB13000" w:ascii="仿宋;CESI仿宋-GB13000" w:hAnsi="仿宋;CESI仿宋-GB13000"/>
                <w:sz w:val="28"/>
                <w:szCs w:val="28"/>
              </w:rPr>
              <w:t>6.</w:t>
            </w:r>
            <w:r>
              <w:rPr>
                <w:rFonts w:ascii="仿宋;CESI仿宋-GB13000" w:hAnsi="仿宋;CESI仿宋-GB13000" w:cs="仿宋;CESI仿宋-GB13000" w:eastAsia="仿宋;CESI仿宋-GB13000"/>
                <w:sz w:val="28"/>
                <w:szCs w:val="28"/>
              </w:rPr>
              <w:t>进口产品应当对外文名称和中文名称分别进行说明，并说明中文名称与外文名称的对应关系（专为中国市场设计无外文名称的除外）。</w:t>
            </w:r>
          </w:p>
        </w:tc>
        <w:tc>
          <w:tcPr>
            <w:tcW w:w="2378"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520"/>
              <w:jc w:val="center"/>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t>□</w:t>
            </w:r>
            <w:r>
              <w:rPr>
                <w:rFonts w:ascii="仿宋_GB2312;方正仿宋_GBK" w:hAnsi="仿宋_GB2312;方正仿宋_GBK" w:cs="仿宋_GB2312;方正仿宋_GBK" w:eastAsia="仿宋_GB2312;方正仿宋_GBK"/>
                <w:sz w:val="28"/>
                <w:szCs w:val="28"/>
              </w:rPr>
              <w:t>符合 □不符合</w:t>
            </w:r>
          </w:p>
        </w:tc>
        <w:tc>
          <w:tcPr>
            <w:tcW w:w="85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360"/>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r>
          </w:p>
        </w:tc>
      </w:tr>
      <w:tr>
        <w:trPr>
          <w:trHeight w:val="1067" w:hRule="atLeast"/>
        </w:trPr>
        <w:tc>
          <w:tcPr>
            <w:tcW w:w="79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exact" w:line="360"/>
              <w:jc w:val="center"/>
              <w:rPr>
                <w:rFonts w:ascii="方正仿宋_GB2312;方正仿宋_GBK" w:hAnsi="方正仿宋_GB2312;方正仿宋_GBK" w:eastAsia="方正仿宋_GB2312;方正仿宋_GBK" w:cs="方正仿宋_GB2312;方正仿宋_GBK"/>
                <w:sz w:val="28"/>
                <w:szCs w:val="28"/>
              </w:rPr>
            </w:pPr>
            <w:r>
              <w:rPr>
                <w:rFonts w:eastAsia="方正仿宋_GB2312;方正仿宋_GBK" w:cs="仿宋_GB2312;方正仿宋_GBK" w:ascii="Arial;DejaVu Sans" w:hAnsi="Arial;DejaVu Sans"/>
                <w:sz w:val="28"/>
                <w:szCs w:val="28"/>
                <w:lang w:val="en-US" w:eastAsia="zh-CN"/>
              </w:rPr>
              <w:t>3</w:t>
            </w:r>
          </w:p>
        </w:tc>
        <w:tc>
          <w:tcPr>
            <w:tcW w:w="223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exact" w:line="360"/>
              <w:jc w:val="center"/>
              <w:rPr>
                <w:rFonts w:ascii="黑体;方正黑体_GBK" w:hAnsi="黑体;方正黑体_GBK" w:eastAsia="黑体;方正黑体_GBK" w:cs="黑体;方正黑体_GBK"/>
                <w:kern w:val="0"/>
                <w:sz w:val="28"/>
                <w:szCs w:val="28"/>
              </w:rPr>
            </w:pPr>
            <w:r>
              <w:rPr>
                <w:rFonts w:ascii="Arial;DejaVu Sans" w:hAnsi="Arial;DejaVu Sans" w:cs="仿宋_GB2312;方正仿宋_GBK" w:eastAsia="方正仿宋_GB2312;方正仿宋_GBK"/>
                <w:sz w:val="28"/>
                <w:szCs w:val="28"/>
              </w:rPr>
              <w:t>【产品配方】</w:t>
            </w:r>
          </w:p>
        </w:tc>
        <w:tc>
          <w:tcPr>
            <w:tcW w:w="15026" w:type="dxa"/>
            <w:tcBorders>
              <w:top w:val="single" w:sz="4" w:space="0" w:color="000000"/>
              <w:left w:val="single" w:sz="4" w:space="0" w:color="000000"/>
              <w:bottom w:val="single" w:sz="4" w:space="0" w:color="000000"/>
              <w:right w:val="single" w:sz="4" w:space="0" w:color="000000"/>
            </w:tcBorders>
          </w:tcPr>
          <w:p>
            <w:pPr>
              <w:pStyle w:val="ListParagraph"/>
              <w:overflowPunct w:val="false"/>
              <w:snapToGrid w:val="false"/>
              <w:spacing w:lineRule="exact" w:line="400"/>
              <w:ind w:hanging="0"/>
              <w:jc w:val="left"/>
              <w:rPr>
                <w:rFonts w:ascii="仿宋;CESI仿宋-GB13000" w:hAnsi="仿宋;CESI仿宋-GB13000" w:eastAsia="仿宋;CESI仿宋-GB13000" w:cs="仿宋;CESI仿宋-GB13000"/>
                <w:sz w:val="28"/>
                <w:szCs w:val="28"/>
              </w:rPr>
            </w:pPr>
            <w:r>
              <w:rPr>
                <w:rFonts w:eastAsia="仿宋;CESI仿宋-GB13000" w:cs="仿宋;CESI仿宋-GB13000" w:ascii="仿宋;CESI仿宋-GB13000" w:hAnsi="仿宋;CESI仿宋-GB13000"/>
                <w:sz w:val="28"/>
                <w:szCs w:val="28"/>
              </w:rPr>
              <w:t>1.</w:t>
            </w:r>
            <w:r>
              <w:rPr>
                <w:rFonts w:ascii="仿宋;CESI仿宋-GB13000" w:hAnsi="仿宋;CESI仿宋-GB13000" w:cs="仿宋;CESI仿宋-GB13000" w:eastAsia="仿宋;CESI仿宋-GB13000"/>
                <w:sz w:val="28"/>
                <w:szCs w:val="28"/>
              </w:rPr>
              <w:t>产品配方为生产投料配方，应当包括原料序号、原料名称、百分含量、使用目的等内容。原料使用目的不得超出普通化妆品功效，也不得超出原料本身的使用目的，应当根据原料在产品中的实际作用标注主要使用目的，其使用目的与产品配方、工艺相关。</w:t>
            </w:r>
          </w:p>
        </w:tc>
        <w:tc>
          <w:tcPr>
            <w:tcW w:w="2378"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520"/>
              <w:jc w:val="center"/>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t>□</w:t>
            </w:r>
            <w:r>
              <w:rPr>
                <w:rFonts w:ascii="仿宋_GB2312;方正仿宋_GBK" w:hAnsi="仿宋_GB2312;方正仿宋_GBK" w:cs="仿宋_GB2312;方正仿宋_GBK" w:eastAsia="仿宋_GB2312;方正仿宋_GBK"/>
                <w:sz w:val="28"/>
                <w:szCs w:val="28"/>
              </w:rPr>
              <w:t>符合 □不符合</w:t>
            </w:r>
          </w:p>
        </w:tc>
        <w:tc>
          <w:tcPr>
            <w:tcW w:w="85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360"/>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r>
          </w:p>
        </w:tc>
      </w:tr>
      <w:tr>
        <w:trPr>
          <w:trHeight w:val="903" w:hRule="atLeast"/>
        </w:trPr>
        <w:tc>
          <w:tcPr>
            <w:tcW w:w="79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Arial;DejaVu Sans" w:hAnsi="Arial;DejaVu Sans" w:eastAsia="方正仿宋_GB2312;方正仿宋_GBK" w:cs="仿宋_GB2312;方正仿宋_GBK"/>
                <w:sz w:val="28"/>
                <w:szCs w:val="28"/>
              </w:rPr>
            </w:pPr>
            <w:r>
              <w:rPr>
                <w:rFonts w:eastAsia="方正仿宋_GB2312;方正仿宋_GBK" w:cs="仿宋_GB2312;方正仿宋_GBK" w:ascii="Arial;DejaVu Sans" w:hAnsi="Arial;DejaVu Sans"/>
                <w:sz w:val="28"/>
                <w:szCs w:val="28"/>
              </w:rPr>
            </w:r>
          </w:p>
        </w:tc>
        <w:tc>
          <w:tcPr>
            <w:tcW w:w="223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Arial;DejaVu Sans" w:hAnsi="Arial;DejaVu Sans" w:eastAsia="方正仿宋_GB2312;方正仿宋_GBK" w:cs="仿宋_GB2312;方正仿宋_GBK"/>
                <w:sz w:val="28"/>
                <w:szCs w:val="28"/>
              </w:rPr>
            </w:pPr>
            <w:r>
              <w:rPr>
                <w:rFonts w:eastAsia="方正仿宋_GB2312;方正仿宋_GBK" w:cs="仿宋_GB2312;方正仿宋_GBK" w:ascii="Arial;DejaVu Sans" w:hAnsi="Arial;DejaVu Sans"/>
                <w:sz w:val="28"/>
                <w:szCs w:val="28"/>
              </w:rPr>
            </w:r>
          </w:p>
        </w:tc>
        <w:tc>
          <w:tcPr>
            <w:tcW w:w="15026" w:type="dxa"/>
            <w:tcBorders>
              <w:top w:val="single" w:sz="4" w:space="0" w:color="000000"/>
              <w:left w:val="single" w:sz="4" w:space="0" w:color="000000"/>
              <w:bottom w:val="single" w:sz="4" w:space="0" w:color="000000"/>
              <w:right w:val="single" w:sz="4" w:space="0" w:color="000000"/>
            </w:tcBorders>
          </w:tcPr>
          <w:p>
            <w:pPr>
              <w:pStyle w:val="ListParagraph"/>
              <w:overflowPunct w:val="false"/>
              <w:snapToGrid w:val="false"/>
              <w:spacing w:lineRule="exact" w:line="400"/>
              <w:ind w:hanging="0"/>
              <w:jc w:val="left"/>
              <w:rPr>
                <w:rFonts w:ascii="仿宋;CESI仿宋-GB13000" w:hAnsi="仿宋;CESI仿宋-GB13000" w:eastAsia="仿宋;CESI仿宋-GB13000" w:cs="仿宋;CESI仿宋-GB13000"/>
                <w:sz w:val="28"/>
                <w:szCs w:val="28"/>
              </w:rPr>
            </w:pPr>
            <w:r>
              <w:rPr>
                <w:rFonts w:eastAsia="仿宋;CESI仿宋-GB13000" w:cs="仿宋;CESI仿宋-GB13000" w:ascii="仿宋;CESI仿宋-GB13000" w:hAnsi="仿宋;CESI仿宋-GB13000"/>
                <w:sz w:val="28"/>
                <w:szCs w:val="28"/>
              </w:rPr>
              <w:t>2.</w:t>
            </w:r>
            <w:r>
              <w:rPr>
                <w:rFonts w:ascii="仿宋;CESI仿宋-GB13000" w:hAnsi="仿宋;CESI仿宋-GB13000" w:cs="仿宋;CESI仿宋-GB13000" w:eastAsia="仿宋;CESI仿宋-GB13000"/>
                <w:sz w:val="28"/>
                <w:szCs w:val="28"/>
              </w:rPr>
              <w:t>产品配方应提供全部原料的含量，含量以质量百分比计，原料含量合计应为</w:t>
            </w:r>
            <w:r>
              <w:rPr>
                <w:rFonts w:eastAsia="仿宋;CESI仿宋-GB13000" w:cs="仿宋;CESI仿宋-GB13000" w:ascii="仿宋;CESI仿宋-GB13000" w:hAnsi="仿宋;CESI仿宋-GB13000"/>
                <w:sz w:val="28"/>
                <w:szCs w:val="28"/>
              </w:rPr>
              <w:t>100%</w:t>
            </w:r>
            <w:r>
              <w:rPr>
                <w:rFonts w:ascii="仿宋;CESI仿宋-GB13000" w:hAnsi="仿宋;CESI仿宋-GB13000" w:cs="仿宋;CESI仿宋-GB13000" w:eastAsia="仿宋;CESI仿宋-GB13000"/>
                <w:sz w:val="28"/>
                <w:szCs w:val="28"/>
              </w:rPr>
              <w:t>。全部原料应当按含量递减顺序排列；含两种或者两种以上成分的原料（香精除外）应当列明组成成分及相应含量。不作为配方成分的原料</w:t>
            </w:r>
            <w:r>
              <w:rPr>
                <w:rFonts w:eastAsia="仿宋;CESI仿宋-GB13000" w:cs="仿宋;CESI仿宋-GB13000" w:ascii="仿宋;CESI仿宋-GB13000" w:hAnsi="仿宋;CESI仿宋-GB13000"/>
                <w:sz w:val="28"/>
                <w:szCs w:val="28"/>
              </w:rPr>
              <w:t>/</w:t>
            </w:r>
            <w:r>
              <w:rPr>
                <w:rFonts w:ascii="仿宋;CESI仿宋-GB13000" w:hAnsi="仿宋;CESI仿宋-GB13000" w:cs="仿宋;CESI仿宋-GB13000" w:eastAsia="仿宋;CESI仿宋-GB13000"/>
                <w:sz w:val="28"/>
                <w:szCs w:val="28"/>
              </w:rPr>
              <w:t>原料成分，可不在产品配方中进行填报，但仍应当对其进行充分分析和安全评估。</w:t>
            </w:r>
          </w:p>
        </w:tc>
        <w:tc>
          <w:tcPr>
            <w:tcW w:w="2378"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520"/>
              <w:jc w:val="center"/>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t>□</w:t>
            </w:r>
            <w:r>
              <w:rPr>
                <w:rFonts w:ascii="仿宋_GB2312;方正仿宋_GBK" w:hAnsi="仿宋_GB2312;方正仿宋_GBK" w:cs="仿宋_GB2312;方正仿宋_GBK" w:eastAsia="仿宋_GB2312;方正仿宋_GBK"/>
                <w:sz w:val="28"/>
                <w:szCs w:val="28"/>
              </w:rPr>
              <w:t>符合 □不符合</w:t>
            </w:r>
          </w:p>
        </w:tc>
        <w:tc>
          <w:tcPr>
            <w:tcW w:w="85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360"/>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r>
          </w:p>
        </w:tc>
      </w:tr>
      <w:tr>
        <w:trPr>
          <w:trHeight w:val="825" w:hRule="atLeast"/>
        </w:trPr>
        <w:tc>
          <w:tcPr>
            <w:tcW w:w="79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Arial;DejaVu Sans" w:hAnsi="Arial;DejaVu Sans" w:eastAsia="方正仿宋_GB2312;方正仿宋_GBK" w:cs="仿宋_GB2312;方正仿宋_GBK"/>
                <w:sz w:val="28"/>
                <w:szCs w:val="28"/>
              </w:rPr>
            </w:pPr>
            <w:r>
              <w:rPr>
                <w:rFonts w:eastAsia="方正仿宋_GB2312;方正仿宋_GBK" w:cs="仿宋_GB2312;方正仿宋_GBK" w:ascii="Arial;DejaVu Sans" w:hAnsi="Arial;DejaVu Sans"/>
                <w:sz w:val="28"/>
                <w:szCs w:val="28"/>
              </w:rPr>
            </w:r>
          </w:p>
        </w:tc>
        <w:tc>
          <w:tcPr>
            <w:tcW w:w="223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Arial;DejaVu Sans" w:hAnsi="Arial;DejaVu Sans" w:eastAsia="方正仿宋_GB2312;方正仿宋_GBK" w:cs="仿宋_GB2312;方正仿宋_GBK"/>
                <w:sz w:val="28"/>
                <w:szCs w:val="28"/>
              </w:rPr>
            </w:pPr>
            <w:r>
              <w:rPr>
                <w:rFonts w:eastAsia="方正仿宋_GB2312;方正仿宋_GBK" w:cs="仿宋_GB2312;方正仿宋_GBK" w:ascii="Arial;DejaVu Sans" w:hAnsi="Arial;DejaVu Sans"/>
                <w:sz w:val="28"/>
                <w:szCs w:val="28"/>
              </w:rPr>
            </w:r>
          </w:p>
        </w:tc>
        <w:tc>
          <w:tcPr>
            <w:tcW w:w="15026" w:type="dxa"/>
            <w:tcBorders>
              <w:top w:val="single" w:sz="4" w:space="0" w:color="000000"/>
              <w:left w:val="single" w:sz="4" w:space="0" w:color="000000"/>
              <w:bottom w:val="single" w:sz="4" w:space="0" w:color="000000"/>
              <w:right w:val="single" w:sz="4" w:space="0" w:color="000000"/>
            </w:tcBorders>
          </w:tcPr>
          <w:p>
            <w:pPr>
              <w:pStyle w:val="ListParagraph"/>
              <w:overflowPunct w:val="false"/>
              <w:snapToGrid w:val="false"/>
              <w:spacing w:lineRule="exact" w:line="400"/>
              <w:ind w:hanging="0"/>
              <w:jc w:val="left"/>
              <w:rPr>
                <w:rFonts w:ascii="仿宋;CESI仿宋-GB13000" w:hAnsi="仿宋;CESI仿宋-GB13000" w:eastAsia="仿宋;CESI仿宋-GB13000" w:cs="仿宋;CESI仿宋-GB13000"/>
                <w:sz w:val="28"/>
                <w:szCs w:val="28"/>
              </w:rPr>
            </w:pPr>
            <w:r>
              <w:rPr>
                <w:rFonts w:eastAsia="仿宋;CESI仿宋-GB13000" w:cs="仿宋;CESI仿宋-GB13000" w:ascii="仿宋;CESI仿宋-GB13000" w:hAnsi="仿宋;CESI仿宋-GB13000"/>
                <w:sz w:val="28"/>
                <w:szCs w:val="28"/>
              </w:rPr>
              <w:t>3.</w:t>
            </w:r>
            <w:r>
              <w:rPr>
                <w:rFonts w:ascii="仿宋;CESI仿宋-GB13000" w:hAnsi="仿宋;CESI仿宋-GB13000" w:cs="仿宋;CESI仿宋-GB13000" w:eastAsia="仿宋;CESI仿宋-GB13000"/>
                <w:sz w:val="28"/>
                <w:szCs w:val="28"/>
              </w:rPr>
              <w:t>填报系统时，应重点关注填写的原料名称是否存在因空格，符号，字母大小写差异导致误判为新原料的情形。从系统下拉菜单中直接选择为优。应当按系统规定的配方格式进行填写，也可从化妆品注册备案申报系统下载配方模板。</w:t>
            </w:r>
          </w:p>
        </w:tc>
        <w:tc>
          <w:tcPr>
            <w:tcW w:w="2378"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520"/>
              <w:jc w:val="center"/>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t>□</w:t>
            </w:r>
            <w:r>
              <w:rPr>
                <w:rFonts w:ascii="仿宋_GB2312;方正仿宋_GBK" w:hAnsi="仿宋_GB2312;方正仿宋_GBK" w:cs="仿宋_GB2312;方正仿宋_GBK" w:eastAsia="仿宋_GB2312;方正仿宋_GBK"/>
                <w:sz w:val="28"/>
                <w:szCs w:val="28"/>
              </w:rPr>
              <w:t>符合 □不符合</w:t>
            </w:r>
          </w:p>
        </w:tc>
        <w:tc>
          <w:tcPr>
            <w:tcW w:w="85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360"/>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r>
          </w:p>
        </w:tc>
      </w:tr>
      <w:tr>
        <w:trPr>
          <w:trHeight w:val="453" w:hRule="atLeast"/>
        </w:trPr>
        <w:tc>
          <w:tcPr>
            <w:tcW w:w="79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Arial;DejaVu Sans" w:hAnsi="Arial;DejaVu Sans" w:eastAsia="方正仿宋_GB2312;方正仿宋_GBK" w:cs="仿宋_GB2312;方正仿宋_GBK"/>
                <w:sz w:val="28"/>
                <w:szCs w:val="28"/>
              </w:rPr>
            </w:pPr>
            <w:r>
              <w:rPr>
                <w:rFonts w:eastAsia="方正仿宋_GB2312;方正仿宋_GBK" w:cs="仿宋_GB2312;方正仿宋_GBK" w:ascii="Arial;DejaVu Sans" w:hAnsi="Arial;DejaVu Sans"/>
                <w:sz w:val="28"/>
                <w:szCs w:val="28"/>
              </w:rPr>
            </w:r>
          </w:p>
        </w:tc>
        <w:tc>
          <w:tcPr>
            <w:tcW w:w="223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Arial;DejaVu Sans" w:hAnsi="Arial;DejaVu Sans" w:eastAsia="方正仿宋_GB2312;方正仿宋_GBK" w:cs="仿宋_GB2312;方正仿宋_GBK"/>
                <w:sz w:val="28"/>
                <w:szCs w:val="28"/>
              </w:rPr>
            </w:pPr>
            <w:r>
              <w:rPr>
                <w:rFonts w:eastAsia="方正仿宋_GB2312;方正仿宋_GBK" w:cs="仿宋_GB2312;方正仿宋_GBK" w:ascii="Arial;DejaVu Sans" w:hAnsi="Arial;DejaVu Sans"/>
                <w:sz w:val="28"/>
                <w:szCs w:val="28"/>
              </w:rPr>
            </w:r>
          </w:p>
        </w:tc>
        <w:tc>
          <w:tcPr>
            <w:tcW w:w="15026" w:type="dxa"/>
            <w:tcBorders>
              <w:top w:val="single" w:sz="4" w:space="0" w:color="000000"/>
              <w:left w:val="single" w:sz="4" w:space="0" w:color="000000"/>
              <w:bottom w:val="single" w:sz="4" w:space="0" w:color="000000"/>
              <w:right w:val="single" w:sz="4" w:space="0" w:color="000000"/>
            </w:tcBorders>
          </w:tcPr>
          <w:p>
            <w:pPr>
              <w:pStyle w:val="ListParagraph"/>
              <w:overflowPunct w:val="false"/>
              <w:snapToGrid w:val="false"/>
              <w:spacing w:lineRule="exact" w:line="400"/>
              <w:ind w:hanging="0"/>
              <w:jc w:val="left"/>
              <w:rPr>
                <w:rFonts w:ascii="仿宋;CESI仿宋-GB13000" w:hAnsi="仿宋;CESI仿宋-GB13000" w:eastAsia="仿宋;CESI仿宋-GB13000" w:cs="仿宋;CESI仿宋-GB13000"/>
                <w:sz w:val="28"/>
                <w:szCs w:val="28"/>
              </w:rPr>
            </w:pPr>
            <w:r>
              <w:rPr>
                <w:rFonts w:eastAsia="仿宋;CESI仿宋-GB13000" w:cs="仿宋;CESI仿宋-GB13000" w:ascii="仿宋;CESI仿宋-GB13000" w:hAnsi="仿宋;CESI仿宋-GB13000"/>
                <w:sz w:val="28"/>
                <w:szCs w:val="28"/>
              </w:rPr>
              <w:t>4.</w:t>
            </w:r>
            <w:r>
              <w:rPr>
                <w:rFonts w:ascii="仿宋;CESI仿宋-GB13000" w:hAnsi="仿宋;CESI仿宋-GB13000" w:cs="仿宋;CESI仿宋-GB13000" w:eastAsia="仿宋;CESI仿宋-GB13000"/>
                <w:sz w:val="28"/>
                <w:szCs w:val="28"/>
              </w:rPr>
              <w:t>名称相同的原料在配方中分别申报的，应在配方备注栏注明原料的相关信息（原料规格、原料组成、商品名称等）</w:t>
            </w:r>
          </w:p>
        </w:tc>
        <w:tc>
          <w:tcPr>
            <w:tcW w:w="2378"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520"/>
              <w:jc w:val="center"/>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t>□</w:t>
            </w:r>
            <w:r>
              <w:rPr>
                <w:rFonts w:ascii="仿宋_GB2312;方正仿宋_GBK" w:hAnsi="仿宋_GB2312;方正仿宋_GBK" w:cs="仿宋_GB2312;方正仿宋_GBK" w:eastAsia="仿宋_GB2312;方正仿宋_GBK"/>
                <w:sz w:val="28"/>
                <w:szCs w:val="28"/>
              </w:rPr>
              <w:t>符合 □不符合</w:t>
            </w:r>
          </w:p>
        </w:tc>
        <w:tc>
          <w:tcPr>
            <w:tcW w:w="85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360"/>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r>
          </w:p>
        </w:tc>
      </w:tr>
      <w:tr>
        <w:trPr>
          <w:trHeight w:val="90" w:hRule="atLeast"/>
        </w:trPr>
        <w:tc>
          <w:tcPr>
            <w:tcW w:w="79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Arial;DejaVu Sans" w:hAnsi="Arial;DejaVu Sans" w:eastAsia="方正仿宋_GB2312;方正仿宋_GBK" w:cs="仿宋_GB2312;方正仿宋_GBK"/>
                <w:sz w:val="28"/>
                <w:szCs w:val="28"/>
              </w:rPr>
            </w:pPr>
            <w:r>
              <w:rPr>
                <w:rFonts w:eastAsia="方正仿宋_GB2312;方正仿宋_GBK" w:cs="仿宋_GB2312;方正仿宋_GBK" w:ascii="Arial;DejaVu Sans" w:hAnsi="Arial;DejaVu Sans"/>
                <w:sz w:val="28"/>
                <w:szCs w:val="28"/>
              </w:rPr>
            </w:r>
          </w:p>
        </w:tc>
        <w:tc>
          <w:tcPr>
            <w:tcW w:w="223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Arial;DejaVu Sans" w:hAnsi="Arial;DejaVu Sans" w:eastAsia="方正仿宋_GB2312;方正仿宋_GBK" w:cs="仿宋_GB2312;方正仿宋_GBK"/>
                <w:sz w:val="28"/>
                <w:szCs w:val="28"/>
              </w:rPr>
            </w:pPr>
            <w:r>
              <w:rPr>
                <w:rFonts w:eastAsia="方正仿宋_GB2312;方正仿宋_GBK" w:cs="仿宋_GB2312;方正仿宋_GBK" w:ascii="Arial;DejaVu Sans" w:hAnsi="Arial;DejaVu Sans"/>
                <w:sz w:val="28"/>
                <w:szCs w:val="28"/>
              </w:rPr>
            </w:r>
          </w:p>
        </w:tc>
        <w:tc>
          <w:tcPr>
            <w:tcW w:w="15026" w:type="dxa"/>
            <w:tcBorders>
              <w:top w:val="single" w:sz="4" w:space="0" w:color="000000"/>
              <w:left w:val="single" w:sz="4" w:space="0" w:color="000000"/>
              <w:bottom w:val="single" w:sz="4" w:space="0" w:color="000000"/>
              <w:right w:val="single" w:sz="4" w:space="0" w:color="000000"/>
            </w:tcBorders>
          </w:tcPr>
          <w:p>
            <w:pPr>
              <w:pStyle w:val="ListParagraph"/>
              <w:overflowPunct w:val="false"/>
              <w:snapToGrid w:val="false"/>
              <w:spacing w:lineRule="exact" w:line="400"/>
              <w:ind w:hanging="0"/>
              <w:jc w:val="left"/>
              <w:rPr>
                <w:rFonts w:ascii="仿宋;CESI仿宋-GB13000" w:hAnsi="仿宋;CESI仿宋-GB13000" w:eastAsia="仿宋;CESI仿宋-GB13000" w:cs="仿宋;CESI仿宋-GB13000"/>
                <w:sz w:val="28"/>
                <w:szCs w:val="28"/>
              </w:rPr>
            </w:pPr>
            <w:r>
              <w:rPr>
                <w:rFonts w:eastAsia="仿宋;CESI仿宋-GB13000" w:cs="仿宋;CESI仿宋-GB13000" w:ascii="仿宋;CESI仿宋-GB13000" w:hAnsi="仿宋;CESI仿宋-GB13000"/>
                <w:sz w:val="28"/>
                <w:szCs w:val="28"/>
              </w:rPr>
              <w:t>5.</w:t>
            </w:r>
            <w:r>
              <w:rPr>
                <w:rFonts w:ascii="仿宋;CESI仿宋-GB13000" w:hAnsi="仿宋;CESI仿宋-GB13000" w:cs="仿宋;CESI仿宋-GB13000" w:eastAsia="仿宋;CESI仿宋-GB13000"/>
                <w:sz w:val="28"/>
                <w:szCs w:val="28"/>
              </w:rPr>
              <w:t>使用尚在安全监测中化妆品新原料的，应填写已注册或者备案的新原料名称，并提供相应原料的注册号或备案号。使用的新原料应满足其技术要求，同时获得新原料注册人、备案人或境内责任人的授权。</w:t>
            </w:r>
          </w:p>
        </w:tc>
        <w:tc>
          <w:tcPr>
            <w:tcW w:w="2378"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520"/>
              <w:jc w:val="center"/>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t>□</w:t>
            </w:r>
            <w:r>
              <w:rPr>
                <w:rFonts w:ascii="仿宋_GB2312;方正仿宋_GBK" w:hAnsi="仿宋_GB2312;方正仿宋_GBK" w:cs="仿宋_GB2312;方正仿宋_GBK" w:eastAsia="仿宋_GB2312;方正仿宋_GBK"/>
                <w:sz w:val="28"/>
                <w:szCs w:val="28"/>
              </w:rPr>
              <w:t>符合 □不符合</w:t>
            </w:r>
          </w:p>
        </w:tc>
        <w:tc>
          <w:tcPr>
            <w:tcW w:w="85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360"/>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r>
          </w:p>
        </w:tc>
      </w:tr>
      <w:tr>
        <w:trPr>
          <w:trHeight w:val="814" w:hRule="atLeast"/>
        </w:trPr>
        <w:tc>
          <w:tcPr>
            <w:tcW w:w="79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Arial;DejaVu Sans" w:hAnsi="Arial;DejaVu Sans" w:eastAsia="方正仿宋_GB2312;方正仿宋_GBK" w:cs="仿宋_GB2312;方正仿宋_GBK"/>
                <w:sz w:val="28"/>
                <w:szCs w:val="28"/>
              </w:rPr>
            </w:pPr>
            <w:r>
              <w:rPr>
                <w:rFonts w:eastAsia="方正仿宋_GB2312;方正仿宋_GBK" w:cs="仿宋_GB2312;方正仿宋_GBK" w:ascii="Arial;DejaVu Sans" w:hAnsi="Arial;DejaVu Sans"/>
                <w:sz w:val="28"/>
                <w:szCs w:val="28"/>
              </w:rPr>
            </w:r>
          </w:p>
        </w:tc>
        <w:tc>
          <w:tcPr>
            <w:tcW w:w="223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Arial;DejaVu Sans" w:hAnsi="Arial;DejaVu Sans" w:eastAsia="方正仿宋_GB2312;方正仿宋_GBK" w:cs="仿宋_GB2312;方正仿宋_GBK"/>
                <w:sz w:val="28"/>
                <w:szCs w:val="28"/>
              </w:rPr>
            </w:pPr>
            <w:r>
              <w:rPr>
                <w:rFonts w:eastAsia="方正仿宋_GB2312;方正仿宋_GBK" w:cs="仿宋_GB2312;方正仿宋_GBK" w:ascii="Arial;DejaVu Sans" w:hAnsi="Arial;DejaVu Sans"/>
                <w:sz w:val="28"/>
                <w:szCs w:val="28"/>
              </w:rPr>
            </w:r>
          </w:p>
        </w:tc>
        <w:tc>
          <w:tcPr>
            <w:tcW w:w="15026" w:type="dxa"/>
            <w:tcBorders>
              <w:top w:val="single" w:sz="4" w:space="0" w:color="000000"/>
              <w:left w:val="single" w:sz="4" w:space="0" w:color="000000"/>
              <w:bottom w:val="single" w:sz="4" w:space="0" w:color="000000"/>
              <w:right w:val="single" w:sz="4" w:space="0" w:color="000000"/>
            </w:tcBorders>
          </w:tcPr>
          <w:p>
            <w:pPr>
              <w:pStyle w:val="ListParagraph"/>
              <w:overflowPunct w:val="false"/>
              <w:snapToGrid w:val="false"/>
              <w:spacing w:lineRule="exact" w:line="400"/>
              <w:ind w:hanging="0"/>
              <w:jc w:val="left"/>
              <w:rPr>
                <w:rFonts w:ascii="仿宋;CESI仿宋-GB13000" w:hAnsi="仿宋;CESI仿宋-GB13000" w:eastAsia="仿宋;CESI仿宋-GB13000" w:cs="仿宋;CESI仿宋-GB13000"/>
                <w:sz w:val="28"/>
                <w:szCs w:val="28"/>
              </w:rPr>
            </w:pPr>
            <w:r>
              <w:rPr>
                <w:rFonts w:eastAsia="仿宋;CESI仿宋-GB13000" w:cs="仿宋;CESI仿宋-GB13000" w:ascii="仿宋;CESI仿宋-GB13000" w:hAnsi="仿宋;CESI仿宋-GB13000"/>
                <w:sz w:val="28"/>
                <w:szCs w:val="28"/>
              </w:rPr>
              <w:t>6.</w:t>
            </w:r>
            <w:r>
              <w:rPr>
                <w:rFonts w:ascii="仿宋;CESI仿宋-GB13000" w:hAnsi="仿宋;CESI仿宋-GB13000" w:cs="仿宋;CESI仿宋-GB13000" w:eastAsia="仿宋;CESI仿宋-GB13000"/>
                <w:sz w:val="28"/>
                <w:szCs w:val="28"/>
              </w:rPr>
              <w:t>所有原料需标明百分比的具体含量，复配原料中每一种原料也需标注实际成分含量，供应商信息可填写复配原料生产商名称。宣称原料来自特殊产地的，提供来源于相关产地的证明文件。</w:t>
            </w:r>
          </w:p>
        </w:tc>
        <w:tc>
          <w:tcPr>
            <w:tcW w:w="2378"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520"/>
              <w:jc w:val="center"/>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t>□</w:t>
            </w:r>
            <w:r>
              <w:rPr>
                <w:rFonts w:ascii="仿宋_GB2312;方正仿宋_GBK" w:hAnsi="仿宋_GB2312;方正仿宋_GBK" w:cs="仿宋_GB2312;方正仿宋_GBK" w:eastAsia="仿宋_GB2312;方正仿宋_GBK"/>
                <w:sz w:val="28"/>
                <w:szCs w:val="28"/>
              </w:rPr>
              <w:t>符合 □不符合</w:t>
            </w:r>
          </w:p>
        </w:tc>
        <w:tc>
          <w:tcPr>
            <w:tcW w:w="85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360"/>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r>
          </w:p>
        </w:tc>
      </w:tr>
      <w:tr>
        <w:trPr>
          <w:trHeight w:val="475" w:hRule="atLeast"/>
        </w:trPr>
        <w:tc>
          <w:tcPr>
            <w:tcW w:w="79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Arial;DejaVu Sans" w:hAnsi="Arial;DejaVu Sans" w:eastAsia="方正仿宋_GB2312;方正仿宋_GBK" w:cs="仿宋_GB2312;方正仿宋_GBK"/>
                <w:sz w:val="28"/>
                <w:szCs w:val="28"/>
              </w:rPr>
            </w:pPr>
            <w:r>
              <w:rPr>
                <w:rFonts w:eastAsia="方正仿宋_GB2312;方正仿宋_GBK" w:cs="仿宋_GB2312;方正仿宋_GBK" w:ascii="Arial;DejaVu Sans" w:hAnsi="Arial;DejaVu Sans"/>
                <w:sz w:val="28"/>
                <w:szCs w:val="28"/>
              </w:rPr>
            </w:r>
          </w:p>
        </w:tc>
        <w:tc>
          <w:tcPr>
            <w:tcW w:w="223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Arial;DejaVu Sans" w:hAnsi="Arial;DejaVu Sans" w:eastAsia="方正仿宋_GB2312;方正仿宋_GBK" w:cs="仿宋_GB2312;方正仿宋_GBK"/>
                <w:sz w:val="28"/>
                <w:szCs w:val="28"/>
              </w:rPr>
            </w:pPr>
            <w:r>
              <w:rPr>
                <w:rFonts w:eastAsia="方正仿宋_GB2312;方正仿宋_GBK" w:cs="仿宋_GB2312;方正仿宋_GBK" w:ascii="Arial;DejaVu Sans" w:hAnsi="Arial;DejaVu Sans"/>
                <w:sz w:val="28"/>
                <w:szCs w:val="28"/>
              </w:rPr>
            </w:r>
          </w:p>
        </w:tc>
        <w:tc>
          <w:tcPr>
            <w:tcW w:w="15026" w:type="dxa"/>
            <w:tcBorders>
              <w:top w:val="single" w:sz="4" w:space="0" w:color="000000"/>
              <w:left w:val="single" w:sz="4" w:space="0" w:color="000000"/>
              <w:bottom w:val="single" w:sz="4" w:space="0" w:color="000000"/>
              <w:right w:val="single" w:sz="4" w:space="0" w:color="000000"/>
            </w:tcBorders>
          </w:tcPr>
          <w:p>
            <w:pPr>
              <w:pStyle w:val="ListParagraph"/>
              <w:overflowPunct w:val="false"/>
              <w:snapToGrid w:val="false"/>
              <w:spacing w:lineRule="exact" w:line="400"/>
              <w:ind w:hanging="0"/>
              <w:jc w:val="left"/>
              <w:rPr>
                <w:rFonts w:ascii="仿宋;CESI仿宋-GB13000" w:hAnsi="仿宋;CESI仿宋-GB13000" w:eastAsia="仿宋;CESI仿宋-GB13000" w:cs="仿宋;CESI仿宋-GB13000"/>
                <w:sz w:val="28"/>
                <w:szCs w:val="28"/>
              </w:rPr>
            </w:pPr>
            <w:r>
              <w:rPr>
                <w:rFonts w:eastAsia="仿宋;CESI仿宋-GB13000" w:cs="仿宋;CESI仿宋-GB13000" w:ascii="仿宋;CESI仿宋-GB13000" w:hAnsi="仿宋;CESI仿宋-GB13000"/>
                <w:sz w:val="28"/>
                <w:szCs w:val="28"/>
                <w:lang w:val="en-US" w:eastAsia="zh-CN"/>
              </w:rPr>
              <w:t>7</w:t>
            </w:r>
            <w:r>
              <w:rPr>
                <w:rFonts w:eastAsia="仿宋;CESI仿宋-GB13000" w:cs="仿宋;CESI仿宋-GB13000" w:ascii="仿宋;CESI仿宋-GB13000" w:hAnsi="仿宋;CESI仿宋-GB13000"/>
                <w:sz w:val="28"/>
                <w:szCs w:val="28"/>
              </w:rPr>
              <w:t>.</w:t>
            </w:r>
            <w:r>
              <w:rPr>
                <w:rFonts w:ascii="仿宋;CESI仿宋-GB13000" w:hAnsi="仿宋;CESI仿宋-GB13000" w:cs="仿宋;CESI仿宋-GB13000" w:eastAsia="仿宋;CESI仿宋-GB13000"/>
                <w:sz w:val="28"/>
                <w:szCs w:val="28"/>
              </w:rPr>
              <w:t>使用类别原料的，按照《已使用化妆品原料目录》（以下简称《原料目录》）填报类别原料名称，并按要求注明其具体原料的名称。使用的具体原料未收载于《原料目录》时，应提供该具体原料已在我国注册或备案产品中使用的证明材料。</w:t>
            </w:r>
          </w:p>
        </w:tc>
        <w:tc>
          <w:tcPr>
            <w:tcW w:w="2378"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520"/>
              <w:jc w:val="center"/>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t>□</w:t>
            </w:r>
            <w:r>
              <w:rPr>
                <w:rFonts w:ascii="仿宋_GB2312;方正仿宋_GBK" w:hAnsi="仿宋_GB2312;方正仿宋_GBK" w:cs="仿宋_GB2312;方正仿宋_GBK" w:eastAsia="仿宋_GB2312;方正仿宋_GBK"/>
                <w:sz w:val="28"/>
                <w:szCs w:val="28"/>
              </w:rPr>
              <w:t>符合 □不符合</w:t>
            </w:r>
          </w:p>
        </w:tc>
        <w:tc>
          <w:tcPr>
            <w:tcW w:w="85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360"/>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r>
          </w:p>
        </w:tc>
      </w:tr>
      <w:tr>
        <w:trPr>
          <w:trHeight w:val="480" w:hRule="atLeast"/>
        </w:trPr>
        <w:tc>
          <w:tcPr>
            <w:tcW w:w="79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Arial;DejaVu Sans" w:hAnsi="Arial;DejaVu Sans" w:eastAsia="方正仿宋_GB2312;方正仿宋_GBK" w:cs="仿宋_GB2312;方正仿宋_GBK"/>
                <w:sz w:val="28"/>
                <w:szCs w:val="28"/>
              </w:rPr>
            </w:pPr>
            <w:r>
              <w:rPr>
                <w:rFonts w:eastAsia="方正仿宋_GB2312;方正仿宋_GBK" w:cs="仿宋_GB2312;方正仿宋_GBK" w:ascii="Arial;DejaVu Sans" w:hAnsi="Arial;DejaVu Sans"/>
                <w:sz w:val="28"/>
                <w:szCs w:val="28"/>
              </w:rPr>
            </w:r>
          </w:p>
        </w:tc>
        <w:tc>
          <w:tcPr>
            <w:tcW w:w="223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Arial;DejaVu Sans" w:hAnsi="Arial;DejaVu Sans" w:eastAsia="方正仿宋_GB2312;方正仿宋_GBK" w:cs="仿宋_GB2312;方正仿宋_GBK"/>
                <w:sz w:val="28"/>
                <w:szCs w:val="28"/>
              </w:rPr>
            </w:pPr>
            <w:r>
              <w:rPr>
                <w:rFonts w:eastAsia="方正仿宋_GB2312;方正仿宋_GBK" w:cs="仿宋_GB2312;方正仿宋_GBK" w:ascii="Arial;DejaVu Sans" w:hAnsi="Arial;DejaVu Sans"/>
                <w:sz w:val="28"/>
                <w:szCs w:val="28"/>
              </w:rPr>
            </w:r>
          </w:p>
        </w:tc>
        <w:tc>
          <w:tcPr>
            <w:tcW w:w="15026" w:type="dxa"/>
            <w:tcBorders>
              <w:top w:val="single" w:sz="4" w:space="0" w:color="000000"/>
              <w:left w:val="single" w:sz="4" w:space="0" w:color="000000"/>
              <w:bottom w:val="single" w:sz="4" w:space="0" w:color="000000"/>
              <w:right w:val="single" w:sz="4" w:space="0" w:color="000000"/>
            </w:tcBorders>
          </w:tcPr>
          <w:p>
            <w:pPr>
              <w:pStyle w:val="ListParagraph"/>
              <w:overflowPunct w:val="false"/>
              <w:snapToGrid w:val="false"/>
              <w:spacing w:lineRule="exact" w:line="400"/>
              <w:ind w:hanging="0"/>
              <w:jc w:val="left"/>
              <w:rPr>
                <w:rFonts w:ascii="仿宋;CESI仿宋-GB13000" w:hAnsi="仿宋;CESI仿宋-GB13000" w:eastAsia="仿宋;CESI仿宋-GB13000" w:cs="仿宋;CESI仿宋-GB13000"/>
                <w:sz w:val="28"/>
                <w:szCs w:val="28"/>
                <w:lang w:val="en-US"/>
              </w:rPr>
            </w:pPr>
            <w:r>
              <w:rPr>
                <w:rFonts w:eastAsia="仿宋;CESI仿宋-GB13000" w:cs="仿宋;CESI仿宋-GB13000" w:ascii="仿宋;CESI仿宋-GB13000" w:hAnsi="仿宋;CESI仿宋-GB13000"/>
                <w:sz w:val="28"/>
                <w:szCs w:val="28"/>
                <w:lang w:val="en-US" w:eastAsia="zh-CN"/>
              </w:rPr>
              <w:t>8</w:t>
            </w:r>
            <w:r>
              <w:rPr>
                <w:rFonts w:eastAsia="仿宋;CESI仿宋-GB13000" w:cs="仿宋;CESI仿宋-GB13000" w:ascii="仿宋;CESI仿宋-GB13000" w:hAnsi="仿宋;CESI仿宋-GB13000"/>
                <w:sz w:val="28"/>
                <w:szCs w:val="28"/>
              </w:rPr>
              <w:t>.</w:t>
            </w:r>
            <w:r>
              <w:rPr>
                <w:rFonts w:ascii="仿宋;CESI仿宋-GB13000" w:hAnsi="仿宋;CESI仿宋-GB13000" w:cs="仿宋;CESI仿宋-GB13000" w:eastAsia="仿宋;CESI仿宋-GB13000"/>
                <w:sz w:val="28"/>
                <w:szCs w:val="28"/>
              </w:rPr>
              <w:t>使用直接来源于植物的原料，按照《原料目录》的说明标注原植物的具体使用部位。</w:t>
            </w:r>
          </w:p>
        </w:tc>
        <w:tc>
          <w:tcPr>
            <w:tcW w:w="2378"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仿宋_GB2312;方正仿宋_GBK" w:hAnsi="仿宋_GB2312;方正仿宋_GBK" w:eastAsia="仿宋_GB2312;方正仿宋_GBK" w:cs="仿宋_GB2312;方正仿宋_GBK"/>
                <w:sz w:val="28"/>
                <w:szCs w:val="28"/>
                <w:lang w:val="en-US"/>
              </w:rPr>
            </w:pPr>
            <w:r>
              <w:rPr>
                <w:rFonts w:eastAsia="仿宋_GB2312;方正仿宋_GBK" w:cs="仿宋_GB2312;方正仿宋_GBK" w:ascii="仿宋_GB2312;方正仿宋_GBK" w:hAnsi="仿宋_GB2312;方正仿宋_GBK"/>
                <w:sz w:val="28"/>
                <w:szCs w:val="28"/>
                <w:lang w:val="en-US"/>
              </w:rPr>
            </w:r>
          </w:p>
        </w:tc>
        <w:tc>
          <w:tcPr>
            <w:tcW w:w="85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360"/>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r>
          </w:p>
        </w:tc>
      </w:tr>
      <w:tr>
        <w:trPr>
          <w:trHeight w:val="90" w:hRule="atLeast"/>
        </w:trPr>
        <w:tc>
          <w:tcPr>
            <w:tcW w:w="79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Arial;DejaVu Sans" w:hAnsi="Arial;DejaVu Sans" w:eastAsia="方正仿宋_GB2312;方正仿宋_GBK" w:cs="仿宋_GB2312;方正仿宋_GBK"/>
                <w:sz w:val="28"/>
                <w:szCs w:val="28"/>
              </w:rPr>
            </w:pPr>
            <w:r>
              <w:rPr>
                <w:rFonts w:eastAsia="方正仿宋_GB2312;方正仿宋_GBK" w:cs="仿宋_GB2312;方正仿宋_GBK" w:ascii="Arial;DejaVu Sans" w:hAnsi="Arial;DejaVu Sans"/>
                <w:sz w:val="28"/>
                <w:szCs w:val="28"/>
              </w:rPr>
            </w:r>
          </w:p>
        </w:tc>
        <w:tc>
          <w:tcPr>
            <w:tcW w:w="223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Arial;DejaVu Sans" w:hAnsi="Arial;DejaVu Sans" w:eastAsia="方正仿宋_GB2312;方正仿宋_GBK" w:cs="仿宋_GB2312;方正仿宋_GBK"/>
                <w:sz w:val="28"/>
                <w:szCs w:val="28"/>
              </w:rPr>
            </w:pPr>
            <w:r>
              <w:rPr>
                <w:rFonts w:eastAsia="方正仿宋_GB2312;方正仿宋_GBK" w:cs="仿宋_GB2312;方正仿宋_GBK" w:ascii="Arial;DejaVu Sans" w:hAnsi="Arial;DejaVu Sans"/>
                <w:sz w:val="28"/>
                <w:szCs w:val="28"/>
              </w:rPr>
            </w:r>
          </w:p>
        </w:tc>
        <w:tc>
          <w:tcPr>
            <w:tcW w:w="15026" w:type="dxa"/>
            <w:tcBorders>
              <w:top w:val="single" w:sz="4" w:space="0" w:color="000000"/>
              <w:left w:val="single" w:sz="4" w:space="0" w:color="000000"/>
              <w:bottom w:val="single" w:sz="4" w:space="0" w:color="000000"/>
              <w:right w:val="single" w:sz="4" w:space="0" w:color="000000"/>
            </w:tcBorders>
          </w:tcPr>
          <w:p>
            <w:pPr>
              <w:pStyle w:val="ListParagraph"/>
              <w:overflowPunct w:val="false"/>
              <w:snapToGrid w:val="false"/>
              <w:spacing w:lineRule="exact" w:line="400"/>
              <w:ind w:hanging="0"/>
              <w:jc w:val="left"/>
              <w:rPr>
                <w:rFonts w:ascii="仿宋;CESI仿宋-GB13000" w:hAnsi="仿宋;CESI仿宋-GB13000" w:eastAsia="仿宋;CESI仿宋-GB13000" w:cs="仿宋;CESI仿宋-GB13000"/>
                <w:sz w:val="28"/>
                <w:szCs w:val="28"/>
              </w:rPr>
            </w:pPr>
            <w:r>
              <w:rPr>
                <w:rFonts w:eastAsia="仿宋;CESI仿宋-GB13000" w:cs="仿宋;CESI仿宋-GB13000" w:ascii="仿宋;CESI仿宋-GB13000" w:hAnsi="仿宋;CESI仿宋-GB13000"/>
                <w:sz w:val="28"/>
                <w:szCs w:val="28"/>
                <w:lang w:val="en-US" w:eastAsia="zh-CN"/>
              </w:rPr>
              <w:t>9</w:t>
            </w:r>
            <w:r>
              <w:rPr>
                <w:rFonts w:eastAsia="仿宋;CESI仿宋-GB13000" w:cs="仿宋;CESI仿宋-GB13000" w:ascii="仿宋;CESI仿宋-GB13000" w:hAnsi="仿宋;CESI仿宋-GB13000"/>
                <w:sz w:val="28"/>
                <w:szCs w:val="28"/>
              </w:rPr>
              <w:t>.</w:t>
            </w:r>
            <w:r>
              <w:rPr>
                <w:rFonts w:ascii="仿宋;CESI仿宋-GB13000" w:hAnsi="仿宋;CESI仿宋-GB13000" w:cs="仿宋;CESI仿宋-GB13000" w:eastAsia="仿宋;CESI仿宋-GB13000"/>
                <w:sz w:val="28"/>
                <w:szCs w:val="28"/>
              </w:rPr>
              <w:t>使用纳米原料的，应在对应的成分名称后标注</w:t>
            </w:r>
            <w:r>
              <w:rPr>
                <w:rFonts w:eastAsia="仿宋;CESI仿宋-GB13000" w:cs="仿宋;CESI仿宋-GB13000" w:ascii="仿宋;CESI仿宋-GB13000" w:hAnsi="仿宋;CESI仿宋-GB13000"/>
                <w:sz w:val="28"/>
                <w:szCs w:val="28"/>
              </w:rPr>
              <w:t>"(</w:t>
            </w:r>
            <w:r>
              <w:rPr>
                <w:rFonts w:ascii="仿宋;CESI仿宋-GB13000" w:hAnsi="仿宋;CESI仿宋-GB13000" w:cs="仿宋;CESI仿宋-GB13000" w:eastAsia="仿宋;CESI仿宋-GB13000"/>
                <w:sz w:val="28"/>
                <w:szCs w:val="28"/>
              </w:rPr>
              <w:t>纳米级</w:t>
            </w:r>
            <w:r>
              <w:rPr>
                <w:rFonts w:eastAsia="仿宋;CESI仿宋-GB13000" w:cs="仿宋;CESI仿宋-GB13000" w:ascii="仿宋;CESI仿宋-GB13000" w:hAnsi="仿宋;CESI仿宋-GB13000"/>
                <w:sz w:val="28"/>
                <w:szCs w:val="28"/>
              </w:rPr>
              <w:t>)"</w:t>
            </w:r>
            <w:r>
              <w:rPr>
                <w:rFonts w:ascii="仿宋;CESI仿宋-GB13000" w:hAnsi="仿宋;CESI仿宋-GB13000" w:cs="仿宋;CESI仿宋-GB13000" w:eastAsia="仿宋;CESI仿宋-GB13000"/>
                <w:sz w:val="28"/>
                <w:szCs w:val="28"/>
              </w:rPr>
              <w:t>并提供纳米原料的规格证明。儿童化妆品不允许使用纳米原料，如无替代原料必须使用时，应当说明原因，并针对儿童化妆品使用的安全性进行评价。</w:t>
            </w:r>
          </w:p>
        </w:tc>
        <w:tc>
          <w:tcPr>
            <w:tcW w:w="2378"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520"/>
              <w:jc w:val="center"/>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t>□</w:t>
            </w:r>
            <w:r>
              <w:rPr>
                <w:rFonts w:ascii="仿宋_GB2312;方正仿宋_GBK" w:hAnsi="仿宋_GB2312;方正仿宋_GBK" w:cs="仿宋_GB2312;方正仿宋_GBK" w:eastAsia="仿宋_GB2312;方正仿宋_GBK"/>
                <w:sz w:val="28"/>
                <w:szCs w:val="28"/>
              </w:rPr>
              <w:t>符合 □不符合</w:t>
            </w:r>
          </w:p>
        </w:tc>
        <w:tc>
          <w:tcPr>
            <w:tcW w:w="85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360"/>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r>
          </w:p>
        </w:tc>
      </w:tr>
      <w:tr>
        <w:trPr>
          <w:trHeight w:val="90" w:hRule="atLeast"/>
        </w:trPr>
        <w:tc>
          <w:tcPr>
            <w:tcW w:w="79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Arial;DejaVu Sans" w:hAnsi="Arial;DejaVu Sans" w:eastAsia="方正仿宋_GB2312;方正仿宋_GBK" w:cs="仿宋_GB2312;方正仿宋_GBK"/>
                <w:sz w:val="28"/>
                <w:szCs w:val="28"/>
              </w:rPr>
            </w:pPr>
            <w:r>
              <w:rPr>
                <w:rFonts w:eastAsia="方正仿宋_GB2312;方正仿宋_GBK" w:cs="仿宋_GB2312;方正仿宋_GBK" w:ascii="Arial;DejaVu Sans" w:hAnsi="Arial;DejaVu Sans"/>
                <w:sz w:val="28"/>
                <w:szCs w:val="28"/>
              </w:rPr>
            </w:r>
          </w:p>
        </w:tc>
        <w:tc>
          <w:tcPr>
            <w:tcW w:w="223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Arial;DejaVu Sans" w:hAnsi="Arial;DejaVu Sans" w:eastAsia="方正仿宋_GB2312;方正仿宋_GBK" w:cs="仿宋_GB2312;方正仿宋_GBK"/>
                <w:sz w:val="28"/>
                <w:szCs w:val="28"/>
              </w:rPr>
            </w:pPr>
            <w:r>
              <w:rPr>
                <w:rFonts w:eastAsia="方正仿宋_GB2312;方正仿宋_GBK" w:cs="仿宋_GB2312;方正仿宋_GBK" w:ascii="Arial;DejaVu Sans" w:hAnsi="Arial;DejaVu Sans"/>
                <w:sz w:val="28"/>
                <w:szCs w:val="28"/>
              </w:rPr>
            </w:r>
          </w:p>
        </w:tc>
        <w:tc>
          <w:tcPr>
            <w:tcW w:w="15026" w:type="dxa"/>
            <w:tcBorders>
              <w:top w:val="single" w:sz="4" w:space="0" w:color="000000"/>
              <w:left w:val="single" w:sz="4" w:space="0" w:color="000000"/>
              <w:bottom w:val="single" w:sz="4" w:space="0" w:color="000000"/>
              <w:right w:val="single" w:sz="4" w:space="0" w:color="000000"/>
            </w:tcBorders>
          </w:tcPr>
          <w:p>
            <w:pPr>
              <w:pStyle w:val="ListParagraph"/>
              <w:overflowPunct w:val="false"/>
              <w:snapToGrid w:val="false"/>
              <w:spacing w:lineRule="exact" w:line="400"/>
              <w:ind w:hanging="0"/>
              <w:jc w:val="left"/>
              <w:rPr>
                <w:rFonts w:ascii="仿宋;CESI仿宋-GB13000" w:hAnsi="仿宋;CESI仿宋-GB13000" w:eastAsia="仿宋;CESI仿宋-GB13000" w:cs="仿宋;CESI仿宋-GB13000"/>
                <w:sz w:val="28"/>
                <w:szCs w:val="28"/>
              </w:rPr>
            </w:pPr>
            <w:r>
              <w:rPr>
                <w:rFonts w:eastAsia="仿宋;CESI仿宋-GB13000" w:cs="仿宋;CESI仿宋-GB13000" w:ascii="仿宋;CESI仿宋-GB13000" w:hAnsi="仿宋;CESI仿宋-GB13000"/>
                <w:sz w:val="28"/>
                <w:szCs w:val="28"/>
                <w:lang w:val="en-US" w:eastAsia="zh-CN"/>
              </w:rPr>
              <w:t>10.</w:t>
            </w:r>
            <w:r>
              <w:rPr>
                <w:rFonts w:ascii="仿宋;CESI仿宋-GB13000" w:hAnsi="仿宋;CESI仿宋-GB13000" w:cs="仿宋;CESI仿宋-GB13000" w:eastAsia="仿宋;CESI仿宋-GB13000"/>
                <w:sz w:val="28"/>
                <w:szCs w:val="28"/>
                <w:lang w:val="en-US" w:eastAsia="zh-CN"/>
              </w:rPr>
              <w:t>使用动物脏器组织及血液制品提取物作为原料的，应当提供其来源、组成以及制备工艺，并提供原料生产国允许使用的相关文件。</w:t>
            </w:r>
          </w:p>
        </w:tc>
        <w:tc>
          <w:tcPr>
            <w:tcW w:w="2378"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520"/>
              <w:jc w:val="center"/>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t>□</w:t>
            </w:r>
            <w:r>
              <w:rPr>
                <w:rFonts w:ascii="仿宋_GB2312;方正仿宋_GBK" w:hAnsi="仿宋_GB2312;方正仿宋_GBK" w:cs="仿宋_GB2312;方正仿宋_GBK" w:eastAsia="仿宋_GB2312;方正仿宋_GBK"/>
                <w:sz w:val="28"/>
                <w:szCs w:val="28"/>
              </w:rPr>
              <w:t>符合 □不符合</w:t>
            </w:r>
          </w:p>
        </w:tc>
        <w:tc>
          <w:tcPr>
            <w:tcW w:w="85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360"/>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r>
          </w:p>
        </w:tc>
      </w:tr>
      <w:tr>
        <w:trPr>
          <w:trHeight w:val="318" w:hRule="atLeast"/>
        </w:trPr>
        <w:tc>
          <w:tcPr>
            <w:tcW w:w="79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Arial;DejaVu Sans" w:hAnsi="Arial;DejaVu Sans" w:eastAsia="方正仿宋_GB2312;方正仿宋_GBK" w:cs="仿宋_GB2312;方正仿宋_GBK"/>
                <w:sz w:val="28"/>
                <w:szCs w:val="28"/>
              </w:rPr>
            </w:pPr>
            <w:r>
              <w:rPr>
                <w:rFonts w:eastAsia="方正仿宋_GB2312;方正仿宋_GBK" w:cs="仿宋_GB2312;方正仿宋_GBK" w:ascii="Arial;DejaVu Sans" w:hAnsi="Arial;DejaVu Sans"/>
                <w:sz w:val="28"/>
                <w:szCs w:val="28"/>
              </w:rPr>
            </w:r>
          </w:p>
        </w:tc>
        <w:tc>
          <w:tcPr>
            <w:tcW w:w="223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Arial;DejaVu Sans" w:hAnsi="Arial;DejaVu Sans" w:eastAsia="方正仿宋_GB2312;方正仿宋_GBK" w:cs="仿宋_GB2312;方正仿宋_GBK"/>
                <w:sz w:val="28"/>
                <w:szCs w:val="28"/>
              </w:rPr>
            </w:pPr>
            <w:r>
              <w:rPr>
                <w:rFonts w:eastAsia="方正仿宋_GB2312;方正仿宋_GBK" w:cs="仿宋_GB2312;方正仿宋_GBK" w:ascii="Arial;DejaVu Sans" w:hAnsi="Arial;DejaVu Sans"/>
                <w:sz w:val="28"/>
                <w:szCs w:val="28"/>
              </w:rPr>
            </w:r>
          </w:p>
        </w:tc>
        <w:tc>
          <w:tcPr>
            <w:tcW w:w="15026" w:type="dxa"/>
            <w:tcBorders>
              <w:top w:val="single" w:sz="4" w:space="0" w:color="000000"/>
              <w:left w:val="single" w:sz="4" w:space="0" w:color="000000"/>
              <w:bottom w:val="single" w:sz="4" w:space="0" w:color="000000"/>
              <w:right w:val="single" w:sz="4" w:space="0" w:color="000000"/>
            </w:tcBorders>
          </w:tcPr>
          <w:p>
            <w:pPr>
              <w:pStyle w:val="ListParagraph"/>
              <w:overflowPunct w:val="false"/>
              <w:snapToGrid w:val="false"/>
              <w:spacing w:lineRule="exact" w:line="400"/>
              <w:ind w:hanging="0"/>
              <w:jc w:val="left"/>
              <w:rPr>
                <w:rFonts w:ascii="仿宋;CESI仿宋-GB13000" w:hAnsi="仿宋;CESI仿宋-GB13000" w:eastAsia="仿宋;CESI仿宋-GB13000" w:cs="仿宋;CESI仿宋-GB13000"/>
                <w:sz w:val="28"/>
                <w:szCs w:val="28"/>
              </w:rPr>
            </w:pPr>
            <w:r>
              <w:rPr>
                <w:rFonts w:eastAsia="仿宋;CESI仿宋-GB13000" w:cs="仿宋;CESI仿宋-GB13000" w:ascii="仿宋;CESI仿宋-GB13000" w:hAnsi="仿宋;CESI仿宋-GB13000"/>
                <w:sz w:val="28"/>
                <w:szCs w:val="28"/>
              </w:rPr>
              <w:t>1</w:t>
            </w:r>
            <w:r>
              <w:rPr>
                <w:rFonts w:eastAsia="仿宋;CESI仿宋-GB13000" w:cs="仿宋;CESI仿宋-GB13000" w:ascii="仿宋;CESI仿宋-GB13000" w:hAnsi="仿宋;CESI仿宋-GB13000"/>
                <w:sz w:val="28"/>
                <w:szCs w:val="28"/>
                <w:lang w:val="en-US" w:eastAsia="zh-CN"/>
              </w:rPr>
              <w:t>1</w:t>
            </w:r>
            <w:r>
              <w:rPr>
                <w:rFonts w:eastAsia="仿宋;CESI仿宋-GB13000" w:cs="仿宋;CESI仿宋-GB13000" w:ascii="仿宋;CESI仿宋-GB13000" w:hAnsi="仿宋;CESI仿宋-GB13000"/>
                <w:sz w:val="28"/>
                <w:szCs w:val="28"/>
              </w:rPr>
              <w:t>.</w:t>
            </w:r>
            <w:r>
              <w:rPr>
                <w:rFonts w:ascii="仿宋;CESI仿宋-GB13000" w:hAnsi="仿宋;CESI仿宋-GB13000" w:cs="仿宋;CESI仿宋-GB13000" w:eastAsia="仿宋;CESI仿宋-GB13000"/>
                <w:sz w:val="28"/>
                <w:szCs w:val="28"/>
              </w:rPr>
              <w:t>香精原料在产品配方表中名称以</w:t>
            </w:r>
            <w:r>
              <w:rPr>
                <w:rFonts w:eastAsia="仿宋;CESI仿宋-GB13000" w:cs="仿宋;CESI仿宋-GB13000" w:ascii="仿宋;CESI仿宋-GB13000" w:hAnsi="仿宋;CESI仿宋-GB13000"/>
                <w:sz w:val="28"/>
                <w:szCs w:val="28"/>
              </w:rPr>
              <w:t>"</w:t>
            </w:r>
            <w:r>
              <w:rPr>
                <w:rFonts w:ascii="仿宋;CESI仿宋-GB13000" w:hAnsi="仿宋;CESI仿宋-GB13000" w:cs="仿宋;CESI仿宋-GB13000" w:eastAsia="仿宋;CESI仿宋-GB13000"/>
                <w:sz w:val="28"/>
                <w:szCs w:val="28"/>
              </w:rPr>
              <w:t>香精</w:t>
            </w:r>
            <w:r>
              <w:rPr>
                <w:rFonts w:eastAsia="仿宋;CESI仿宋-GB13000" w:cs="仿宋;CESI仿宋-GB13000" w:ascii="仿宋;CESI仿宋-GB13000" w:hAnsi="仿宋;CESI仿宋-GB13000"/>
                <w:sz w:val="28"/>
                <w:szCs w:val="28"/>
              </w:rPr>
              <w:t>"</w:t>
            </w:r>
            <w:r>
              <w:rPr>
                <w:rFonts w:ascii="仿宋;CESI仿宋-GB13000" w:hAnsi="仿宋;CESI仿宋-GB13000" w:cs="仿宋;CESI仿宋-GB13000" w:eastAsia="仿宋;CESI仿宋-GB13000"/>
                <w:sz w:val="28"/>
                <w:szCs w:val="28"/>
              </w:rPr>
              <w:t>表示的，仅需填报香精在配方中的用量，无须提交香精中具体香料组分的种类和含量：产品标签中如果标识了香精中具体香料组分的，则应当在配方表备注栏中说明。产品配方表中同时填写</w:t>
            </w:r>
            <w:r>
              <w:rPr>
                <w:rFonts w:eastAsia="仿宋;CESI仿宋-GB13000" w:cs="仿宋;CESI仿宋-GB13000" w:ascii="仿宋;CESI仿宋-GB13000" w:hAnsi="仿宋;CESI仿宋-GB13000"/>
                <w:sz w:val="28"/>
                <w:szCs w:val="28"/>
              </w:rPr>
              <w:t>"</w:t>
            </w:r>
            <w:r>
              <w:rPr>
                <w:rFonts w:ascii="仿宋;CESI仿宋-GB13000" w:hAnsi="仿宋;CESI仿宋-GB13000" w:cs="仿宋;CESI仿宋-GB13000" w:eastAsia="仿宋;CESI仿宋-GB13000"/>
                <w:sz w:val="28"/>
                <w:szCs w:val="28"/>
              </w:rPr>
              <w:t>香精</w:t>
            </w:r>
            <w:r>
              <w:rPr>
                <w:rFonts w:eastAsia="仿宋;CESI仿宋-GB13000" w:cs="仿宋;CESI仿宋-GB13000" w:ascii="仿宋;CESI仿宋-GB13000" w:hAnsi="仿宋;CESI仿宋-GB13000"/>
                <w:sz w:val="28"/>
                <w:szCs w:val="28"/>
              </w:rPr>
              <w:t>"</w:t>
            </w:r>
            <w:r>
              <w:rPr>
                <w:rFonts w:ascii="仿宋;CESI仿宋-GB13000" w:hAnsi="仿宋;CESI仿宋-GB13000" w:cs="仿宋;CESI仿宋-GB13000" w:eastAsia="仿宋;CESI仿宋-GB13000"/>
                <w:sz w:val="28"/>
                <w:szCs w:val="28"/>
              </w:rPr>
              <w:t>及香精中的具体香料组分的种类和含量时，则须提交香精原料生产企业出具的关于该香精所含全部香料组分种类及含量的证明文件。</w:t>
            </w:r>
          </w:p>
        </w:tc>
        <w:tc>
          <w:tcPr>
            <w:tcW w:w="2378"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520"/>
              <w:jc w:val="center"/>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t>□</w:t>
            </w:r>
            <w:r>
              <w:rPr>
                <w:rFonts w:ascii="仿宋_GB2312;方正仿宋_GBK" w:hAnsi="仿宋_GB2312;方正仿宋_GBK" w:cs="仿宋_GB2312;方正仿宋_GBK" w:eastAsia="仿宋_GB2312;方正仿宋_GBK"/>
                <w:sz w:val="28"/>
                <w:szCs w:val="28"/>
              </w:rPr>
              <w:t>符合 □不符合</w:t>
            </w:r>
          </w:p>
        </w:tc>
        <w:tc>
          <w:tcPr>
            <w:tcW w:w="85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360"/>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r>
          </w:p>
        </w:tc>
      </w:tr>
      <w:tr>
        <w:trPr>
          <w:trHeight w:val="866" w:hRule="atLeast"/>
        </w:trPr>
        <w:tc>
          <w:tcPr>
            <w:tcW w:w="79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Arial;DejaVu Sans" w:hAnsi="Arial;DejaVu Sans" w:eastAsia="方正仿宋_GB2312;方正仿宋_GBK" w:cs="仿宋_GB2312;方正仿宋_GBK"/>
                <w:sz w:val="28"/>
                <w:szCs w:val="28"/>
              </w:rPr>
            </w:pPr>
            <w:r>
              <w:rPr>
                <w:rFonts w:eastAsia="方正仿宋_GB2312;方正仿宋_GBK" w:cs="仿宋_GB2312;方正仿宋_GBK" w:ascii="Arial;DejaVu Sans" w:hAnsi="Arial;DejaVu Sans"/>
                <w:sz w:val="28"/>
                <w:szCs w:val="28"/>
              </w:rPr>
            </w:r>
          </w:p>
        </w:tc>
        <w:tc>
          <w:tcPr>
            <w:tcW w:w="223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Arial;DejaVu Sans" w:hAnsi="Arial;DejaVu Sans" w:eastAsia="方正仿宋_GB2312;方正仿宋_GBK" w:cs="仿宋_GB2312;方正仿宋_GBK"/>
                <w:sz w:val="28"/>
                <w:szCs w:val="28"/>
              </w:rPr>
            </w:pPr>
            <w:r>
              <w:rPr>
                <w:rFonts w:eastAsia="方正仿宋_GB2312;方正仿宋_GBK" w:cs="仿宋_GB2312;方正仿宋_GBK" w:ascii="Arial;DejaVu Sans" w:hAnsi="Arial;DejaVu Sans"/>
                <w:sz w:val="28"/>
                <w:szCs w:val="28"/>
              </w:rPr>
            </w:r>
          </w:p>
        </w:tc>
        <w:tc>
          <w:tcPr>
            <w:tcW w:w="15026" w:type="dxa"/>
            <w:tcBorders>
              <w:top w:val="single" w:sz="4" w:space="0" w:color="000000"/>
              <w:left w:val="single" w:sz="4" w:space="0" w:color="000000"/>
              <w:bottom w:val="single" w:sz="4" w:space="0" w:color="000000"/>
              <w:right w:val="single" w:sz="4" w:space="0" w:color="000000"/>
            </w:tcBorders>
          </w:tcPr>
          <w:p>
            <w:pPr>
              <w:pStyle w:val="ListParagraph"/>
              <w:overflowPunct w:val="false"/>
              <w:snapToGrid w:val="false"/>
              <w:spacing w:lineRule="exact" w:line="400"/>
              <w:ind w:hanging="0"/>
              <w:jc w:val="left"/>
              <w:rPr>
                <w:rFonts w:ascii="仿宋;CESI仿宋-GB13000" w:hAnsi="仿宋;CESI仿宋-GB13000" w:eastAsia="仿宋;CESI仿宋-GB13000" w:cs="仿宋;CESI仿宋-GB13000"/>
                <w:sz w:val="28"/>
                <w:szCs w:val="28"/>
              </w:rPr>
            </w:pPr>
            <w:r>
              <w:rPr>
                <w:rFonts w:eastAsia="仿宋;CESI仿宋-GB13000" w:cs="仿宋;CESI仿宋-GB13000" w:ascii="仿宋;CESI仿宋-GB13000" w:hAnsi="仿宋;CESI仿宋-GB13000"/>
                <w:sz w:val="28"/>
                <w:szCs w:val="28"/>
              </w:rPr>
              <w:t>1</w:t>
            </w:r>
            <w:r>
              <w:rPr>
                <w:rFonts w:eastAsia="仿宋;CESI仿宋-GB13000" w:cs="仿宋;CESI仿宋-GB13000" w:ascii="仿宋;CESI仿宋-GB13000" w:hAnsi="仿宋;CESI仿宋-GB13000"/>
                <w:sz w:val="28"/>
                <w:szCs w:val="28"/>
                <w:lang w:val="en-US" w:eastAsia="zh-CN"/>
              </w:rPr>
              <w:t>2</w:t>
            </w:r>
            <w:r>
              <w:rPr>
                <w:rFonts w:eastAsia="仿宋;CESI仿宋-GB13000" w:cs="仿宋;CESI仿宋-GB13000" w:ascii="仿宋;CESI仿宋-GB13000" w:hAnsi="仿宋;CESI仿宋-GB13000"/>
                <w:sz w:val="28"/>
                <w:szCs w:val="28"/>
              </w:rPr>
              <w:t>.</w:t>
            </w:r>
            <w:r>
              <w:rPr>
                <w:rFonts w:ascii="仿宋;CESI仿宋-GB13000" w:hAnsi="仿宋;CESI仿宋-GB13000" w:cs="仿宋;CESI仿宋-GB13000" w:eastAsia="仿宋;CESI仿宋-GB13000"/>
                <w:sz w:val="28"/>
                <w:szCs w:val="28"/>
              </w:rPr>
              <w:t>着色剂应提供《化妆品安全技术规范》明的着色剂索引号</w:t>
            </w:r>
            <w:r>
              <w:rPr>
                <w:rFonts w:eastAsia="仿宋;CESI仿宋-GB13000" w:cs="仿宋;CESI仿宋-GB13000" w:ascii="仿宋;CESI仿宋-GB13000" w:hAnsi="仿宋;CESI仿宋-GB13000"/>
                <w:sz w:val="28"/>
                <w:szCs w:val="28"/>
              </w:rPr>
              <w:t>(</w:t>
            </w:r>
            <w:r>
              <w:rPr>
                <w:rFonts w:ascii="仿宋;CESI仿宋-GB13000" w:hAnsi="仿宋;CESI仿宋-GB13000" w:cs="仿宋;CESI仿宋-GB13000" w:eastAsia="仿宋;CESI仿宋-GB13000"/>
                <w:sz w:val="28"/>
                <w:szCs w:val="28"/>
              </w:rPr>
              <w:t>简称</w:t>
            </w:r>
            <w:r>
              <w:rPr>
                <w:rFonts w:eastAsia="仿宋;CESI仿宋-GB13000" w:cs="仿宋;CESI仿宋-GB13000" w:ascii="仿宋;CESI仿宋-GB13000" w:hAnsi="仿宋;CESI仿宋-GB13000"/>
                <w:sz w:val="28"/>
                <w:szCs w:val="28"/>
              </w:rPr>
              <w:t>CI</w:t>
            </w:r>
            <w:r>
              <w:rPr>
                <w:rFonts w:ascii="仿宋;CESI仿宋-GB13000" w:hAnsi="仿宋;CESI仿宋-GB13000" w:cs="仿宋;CESI仿宋-GB13000" w:eastAsia="仿宋;CESI仿宋-GB13000"/>
                <w:sz w:val="28"/>
                <w:szCs w:val="28"/>
              </w:rPr>
              <w:t>号</w:t>
            </w:r>
            <w:r>
              <w:rPr>
                <w:rFonts w:eastAsia="仿宋;CESI仿宋-GB13000" w:cs="仿宋;CESI仿宋-GB13000" w:ascii="仿宋;CESI仿宋-GB13000" w:hAnsi="仿宋;CESI仿宋-GB13000"/>
                <w:sz w:val="28"/>
                <w:szCs w:val="28"/>
              </w:rPr>
              <w:t>)</w:t>
            </w:r>
            <w:r>
              <w:rPr>
                <w:rFonts w:ascii="仿宋;CESI仿宋-GB13000" w:hAnsi="仿宋;CESI仿宋-GB13000" w:cs="仿宋;CESI仿宋-GB13000" w:eastAsia="仿宋;CESI仿宋-GB13000"/>
                <w:sz w:val="28"/>
                <w:szCs w:val="28"/>
              </w:rPr>
              <w:t>，无</w:t>
            </w:r>
            <w:r>
              <w:rPr>
                <w:rFonts w:eastAsia="仿宋;CESI仿宋-GB13000" w:cs="仿宋;CESI仿宋-GB13000" w:ascii="仿宋;CESI仿宋-GB13000" w:hAnsi="仿宋;CESI仿宋-GB13000"/>
                <w:sz w:val="28"/>
                <w:szCs w:val="28"/>
              </w:rPr>
              <w:t>CI</w:t>
            </w:r>
            <w:r>
              <w:rPr>
                <w:rFonts w:ascii="仿宋;CESI仿宋-GB13000" w:hAnsi="仿宋;CESI仿宋-GB13000" w:cs="仿宋;CESI仿宋-GB13000" w:eastAsia="仿宋;CESI仿宋-GB13000"/>
                <w:sz w:val="28"/>
                <w:szCs w:val="28"/>
              </w:rPr>
              <w:t>号的除外。着色剂为色淀的，应明确标注</w:t>
            </w:r>
            <w:r>
              <w:rPr>
                <w:rFonts w:eastAsia="仿宋;CESI仿宋-GB13000" w:cs="仿宋;CESI仿宋-GB13000" w:ascii="仿宋;CESI仿宋-GB13000" w:hAnsi="仿宋;CESI仿宋-GB13000"/>
                <w:sz w:val="28"/>
                <w:szCs w:val="28"/>
              </w:rPr>
              <w:t>"</w:t>
            </w:r>
            <w:r>
              <w:rPr>
                <w:rFonts w:ascii="仿宋;CESI仿宋-GB13000" w:hAnsi="仿宋;CESI仿宋-GB13000" w:cs="仿宋;CESI仿宋-GB13000" w:eastAsia="仿宋;CESI仿宋-GB13000"/>
                <w:sz w:val="28"/>
                <w:szCs w:val="28"/>
              </w:rPr>
              <w:t>色淀</w:t>
            </w:r>
            <w:r>
              <w:rPr>
                <w:rFonts w:eastAsia="仿宋;CESI仿宋-GB13000" w:cs="仿宋;CESI仿宋-GB13000" w:ascii="仿宋;CESI仿宋-GB13000" w:hAnsi="仿宋;CESI仿宋-GB13000"/>
                <w:sz w:val="28"/>
                <w:szCs w:val="28"/>
              </w:rPr>
              <w:t>"</w:t>
            </w:r>
            <w:r>
              <w:rPr>
                <w:rFonts w:ascii="仿宋;CESI仿宋-GB13000" w:hAnsi="仿宋;CESI仿宋-GB13000" w:cs="仿宋;CESI仿宋-GB13000" w:eastAsia="仿宋;CESI仿宋-GB13000"/>
                <w:sz w:val="28"/>
                <w:szCs w:val="28"/>
              </w:rPr>
              <w:t>并说明色淀的种类。色淀不溶性无机盐部分有检验要求的，应提供色淀符合使用要求的测试报告或证明文件。</w:t>
            </w:r>
          </w:p>
        </w:tc>
        <w:tc>
          <w:tcPr>
            <w:tcW w:w="2378"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520"/>
              <w:jc w:val="center"/>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t>□</w:t>
            </w:r>
            <w:r>
              <w:rPr>
                <w:rFonts w:ascii="仿宋_GB2312;方正仿宋_GBK" w:hAnsi="仿宋_GB2312;方正仿宋_GBK" w:cs="仿宋_GB2312;方正仿宋_GBK" w:eastAsia="仿宋_GB2312;方正仿宋_GBK"/>
                <w:sz w:val="28"/>
                <w:szCs w:val="28"/>
              </w:rPr>
              <w:t>符合 □不符合</w:t>
            </w:r>
          </w:p>
        </w:tc>
        <w:tc>
          <w:tcPr>
            <w:tcW w:w="85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360"/>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r>
          </w:p>
        </w:tc>
      </w:tr>
      <w:tr>
        <w:trPr>
          <w:trHeight w:val="864" w:hRule="atLeast"/>
        </w:trPr>
        <w:tc>
          <w:tcPr>
            <w:tcW w:w="79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Arial;DejaVu Sans" w:hAnsi="Arial;DejaVu Sans" w:eastAsia="方正仿宋_GB2312;方正仿宋_GBK" w:cs="仿宋_GB2312;方正仿宋_GBK"/>
                <w:sz w:val="28"/>
                <w:szCs w:val="28"/>
              </w:rPr>
            </w:pPr>
            <w:r>
              <w:rPr>
                <w:rFonts w:eastAsia="方正仿宋_GB2312;方正仿宋_GBK" w:cs="仿宋_GB2312;方正仿宋_GBK" w:ascii="Arial;DejaVu Sans" w:hAnsi="Arial;DejaVu Sans"/>
                <w:sz w:val="28"/>
                <w:szCs w:val="28"/>
              </w:rPr>
            </w:r>
          </w:p>
        </w:tc>
        <w:tc>
          <w:tcPr>
            <w:tcW w:w="223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Arial;DejaVu Sans" w:hAnsi="Arial;DejaVu Sans" w:eastAsia="方正仿宋_GB2312;方正仿宋_GBK" w:cs="仿宋_GB2312;方正仿宋_GBK"/>
                <w:sz w:val="28"/>
                <w:szCs w:val="28"/>
              </w:rPr>
            </w:pPr>
            <w:r>
              <w:rPr>
                <w:rFonts w:eastAsia="方正仿宋_GB2312;方正仿宋_GBK" w:cs="仿宋_GB2312;方正仿宋_GBK" w:ascii="Arial;DejaVu Sans" w:hAnsi="Arial;DejaVu Sans"/>
                <w:sz w:val="28"/>
                <w:szCs w:val="28"/>
              </w:rPr>
            </w:r>
          </w:p>
        </w:tc>
        <w:tc>
          <w:tcPr>
            <w:tcW w:w="15026" w:type="dxa"/>
            <w:tcBorders>
              <w:top w:val="single" w:sz="4" w:space="0" w:color="000000"/>
              <w:left w:val="single" w:sz="4" w:space="0" w:color="000000"/>
              <w:bottom w:val="single" w:sz="4" w:space="0" w:color="000000"/>
              <w:right w:val="single" w:sz="4" w:space="0" w:color="000000"/>
            </w:tcBorders>
          </w:tcPr>
          <w:p>
            <w:pPr>
              <w:pStyle w:val="ListParagraph"/>
              <w:overflowPunct w:val="false"/>
              <w:snapToGrid w:val="false"/>
              <w:spacing w:lineRule="exact" w:line="400"/>
              <w:ind w:hanging="0"/>
              <w:jc w:val="left"/>
              <w:rPr>
                <w:rFonts w:ascii="仿宋;CESI仿宋-GB13000" w:hAnsi="仿宋;CESI仿宋-GB13000" w:eastAsia="仿宋;CESI仿宋-GB13000" w:cs="仿宋;CESI仿宋-GB13000"/>
                <w:sz w:val="28"/>
                <w:szCs w:val="28"/>
              </w:rPr>
            </w:pPr>
            <w:r>
              <w:rPr>
                <w:rFonts w:eastAsia="仿宋;CESI仿宋-GB13000" w:cs="仿宋;CESI仿宋-GB13000" w:ascii="仿宋;CESI仿宋-GB13000" w:hAnsi="仿宋;CESI仿宋-GB13000"/>
                <w:sz w:val="28"/>
                <w:szCs w:val="28"/>
              </w:rPr>
              <w:t>1</w:t>
            </w:r>
            <w:r>
              <w:rPr>
                <w:rFonts w:eastAsia="仿宋;CESI仿宋-GB13000" w:cs="仿宋;CESI仿宋-GB13000" w:ascii="仿宋;CESI仿宋-GB13000" w:hAnsi="仿宋;CESI仿宋-GB13000"/>
                <w:sz w:val="28"/>
                <w:szCs w:val="28"/>
                <w:lang w:val="en-US" w:eastAsia="zh-CN"/>
              </w:rPr>
              <w:t>3</w:t>
            </w:r>
            <w:r>
              <w:rPr>
                <w:rFonts w:eastAsia="仿宋;CESI仿宋-GB13000" w:cs="仿宋;CESI仿宋-GB13000" w:ascii="仿宋;CESI仿宋-GB13000" w:hAnsi="仿宋;CESI仿宋-GB13000"/>
                <w:sz w:val="28"/>
                <w:szCs w:val="28"/>
              </w:rPr>
              <w:t>.</w:t>
            </w:r>
            <w:r>
              <w:rPr>
                <w:rFonts w:ascii="仿宋;CESI仿宋-GB13000" w:hAnsi="仿宋;CESI仿宋-GB13000" w:cs="仿宋;CESI仿宋-GB13000" w:eastAsia="仿宋;CESI仿宋-GB13000"/>
                <w:sz w:val="28"/>
                <w:szCs w:val="28"/>
              </w:rPr>
              <w:t>来源于石油，煤焦油的碳氢化合物</w:t>
            </w:r>
            <w:r>
              <w:rPr>
                <w:rFonts w:eastAsia="仿宋;CESI仿宋-GB13000" w:cs="仿宋;CESI仿宋-GB13000" w:ascii="仿宋;CESI仿宋-GB13000" w:hAnsi="仿宋;CESI仿宋-GB13000"/>
                <w:sz w:val="28"/>
                <w:szCs w:val="28"/>
              </w:rPr>
              <w:t>(</w:t>
            </w:r>
            <w:r>
              <w:rPr>
                <w:rFonts w:ascii="仿宋;CESI仿宋-GB13000" w:hAnsi="仿宋;CESI仿宋-GB13000" w:cs="仿宋;CESI仿宋-GB13000" w:eastAsia="仿宋;CESI仿宋-GB13000"/>
                <w:sz w:val="28"/>
                <w:szCs w:val="28"/>
              </w:rPr>
              <w:t>单一组分的除外</w:t>
            </w:r>
            <w:r>
              <w:rPr>
                <w:rFonts w:eastAsia="仿宋;CESI仿宋-GB13000" w:cs="仿宋;CESI仿宋-GB13000" w:ascii="仿宋;CESI仿宋-GB13000" w:hAnsi="仿宋;CESI仿宋-GB13000"/>
                <w:sz w:val="28"/>
                <w:szCs w:val="28"/>
              </w:rPr>
              <w:t>)</w:t>
            </w:r>
            <w:r>
              <w:rPr>
                <w:rFonts w:ascii="仿宋;CESI仿宋-GB13000" w:hAnsi="仿宋;CESI仿宋-GB13000" w:cs="仿宋;CESI仿宋-GB13000" w:eastAsia="仿宋;CESI仿宋-GB13000"/>
                <w:sz w:val="28"/>
                <w:szCs w:val="28"/>
              </w:rPr>
              <w:t>的原料，应标明化学文摘索引号</w:t>
            </w:r>
            <w:r>
              <w:rPr>
                <w:rFonts w:eastAsia="仿宋;CESI仿宋-GB13000" w:cs="仿宋;CESI仿宋-GB13000" w:ascii="仿宋;CESI仿宋-GB13000" w:hAnsi="仿宋;CESI仿宋-GB13000"/>
                <w:sz w:val="28"/>
                <w:szCs w:val="28"/>
              </w:rPr>
              <w:t>(CAS</w:t>
            </w:r>
            <w:r>
              <w:rPr>
                <w:rFonts w:ascii="仿宋;CESI仿宋-GB13000" w:hAnsi="仿宋;CESI仿宋-GB13000" w:cs="仿宋;CESI仿宋-GB13000" w:eastAsia="仿宋;CESI仿宋-GB13000"/>
                <w:sz w:val="28"/>
                <w:szCs w:val="28"/>
              </w:rPr>
              <w:t>号</w:t>
            </w:r>
            <w:r>
              <w:rPr>
                <w:rFonts w:eastAsia="仿宋;CESI仿宋-GB13000" w:cs="仿宋;CESI仿宋-GB13000" w:ascii="仿宋;CESI仿宋-GB13000" w:hAnsi="仿宋;CESI仿宋-GB13000"/>
                <w:sz w:val="28"/>
                <w:szCs w:val="28"/>
              </w:rPr>
              <w:t>)</w:t>
            </w:r>
            <w:r>
              <w:rPr>
                <w:rFonts w:ascii="仿宋;CESI仿宋-GB13000" w:hAnsi="仿宋;CESI仿宋-GB13000" w:cs="仿宋;CESI仿宋-GB13000" w:eastAsia="仿宋;CESI仿宋-GB13000"/>
                <w:sz w:val="28"/>
                <w:szCs w:val="28"/>
              </w:rPr>
              <w:t>，可参照《化妆品原料安全信息填报技术指导原则》相关内容。</w:t>
            </w:r>
          </w:p>
        </w:tc>
        <w:tc>
          <w:tcPr>
            <w:tcW w:w="2378"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520"/>
              <w:jc w:val="center"/>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t>□</w:t>
            </w:r>
            <w:r>
              <w:rPr>
                <w:rFonts w:ascii="仿宋_GB2312;方正仿宋_GBK" w:hAnsi="仿宋_GB2312;方正仿宋_GBK" w:cs="仿宋_GB2312;方正仿宋_GBK" w:eastAsia="仿宋_GB2312;方正仿宋_GBK"/>
                <w:sz w:val="28"/>
                <w:szCs w:val="28"/>
              </w:rPr>
              <w:t>符合 □不符合</w:t>
            </w:r>
          </w:p>
        </w:tc>
        <w:tc>
          <w:tcPr>
            <w:tcW w:w="85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360"/>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r>
          </w:p>
        </w:tc>
      </w:tr>
      <w:tr>
        <w:trPr>
          <w:trHeight w:val="600" w:hRule="atLeast"/>
        </w:trPr>
        <w:tc>
          <w:tcPr>
            <w:tcW w:w="79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Arial;DejaVu Sans" w:hAnsi="Arial;DejaVu Sans" w:eastAsia="方正仿宋_GB2312;方正仿宋_GBK" w:cs="仿宋_GB2312;方正仿宋_GBK"/>
                <w:sz w:val="28"/>
                <w:szCs w:val="28"/>
              </w:rPr>
            </w:pPr>
            <w:r>
              <w:rPr>
                <w:rFonts w:eastAsia="方正仿宋_GB2312;方正仿宋_GBK" w:cs="仿宋_GB2312;方正仿宋_GBK" w:ascii="Arial;DejaVu Sans" w:hAnsi="Arial;DejaVu Sans"/>
                <w:sz w:val="28"/>
                <w:szCs w:val="28"/>
              </w:rPr>
            </w:r>
          </w:p>
        </w:tc>
        <w:tc>
          <w:tcPr>
            <w:tcW w:w="223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Arial;DejaVu Sans" w:hAnsi="Arial;DejaVu Sans" w:eastAsia="方正仿宋_GB2312;方正仿宋_GBK" w:cs="仿宋_GB2312;方正仿宋_GBK"/>
                <w:sz w:val="28"/>
                <w:szCs w:val="28"/>
              </w:rPr>
            </w:pPr>
            <w:r>
              <w:rPr>
                <w:rFonts w:eastAsia="方正仿宋_GB2312;方正仿宋_GBK" w:cs="仿宋_GB2312;方正仿宋_GBK" w:ascii="Arial;DejaVu Sans" w:hAnsi="Arial;DejaVu Sans"/>
                <w:sz w:val="28"/>
                <w:szCs w:val="28"/>
              </w:rPr>
            </w:r>
          </w:p>
        </w:tc>
        <w:tc>
          <w:tcPr>
            <w:tcW w:w="15026" w:type="dxa"/>
            <w:tcBorders>
              <w:top w:val="single" w:sz="4" w:space="0" w:color="000000"/>
              <w:left w:val="single" w:sz="4" w:space="0" w:color="000000"/>
              <w:bottom w:val="single" w:sz="4" w:space="0" w:color="000000"/>
              <w:right w:val="single" w:sz="4" w:space="0" w:color="000000"/>
            </w:tcBorders>
          </w:tcPr>
          <w:p>
            <w:pPr>
              <w:pStyle w:val="ListParagraph"/>
              <w:overflowPunct w:val="false"/>
              <w:snapToGrid w:val="false"/>
              <w:spacing w:lineRule="exact" w:line="400"/>
              <w:ind w:hanging="0"/>
              <w:jc w:val="left"/>
              <w:rPr>
                <w:rFonts w:ascii="仿宋;CESI仿宋-GB13000" w:hAnsi="仿宋;CESI仿宋-GB13000" w:eastAsia="仿宋;CESI仿宋-GB13000" w:cs="仿宋;CESI仿宋-GB13000"/>
                <w:sz w:val="28"/>
                <w:szCs w:val="28"/>
              </w:rPr>
            </w:pPr>
            <w:r>
              <w:rPr>
                <w:rFonts w:eastAsia="仿宋;CESI仿宋-GB13000" w:cs="仿宋;CESI仿宋-GB13000" w:ascii="仿宋;CESI仿宋-GB13000" w:hAnsi="仿宋;CESI仿宋-GB13000"/>
                <w:sz w:val="28"/>
                <w:szCs w:val="28"/>
              </w:rPr>
              <w:t>1</w:t>
            </w:r>
            <w:r>
              <w:rPr>
                <w:rFonts w:eastAsia="仿宋;CESI仿宋-GB13000" w:cs="仿宋;CESI仿宋-GB13000" w:ascii="仿宋;CESI仿宋-GB13000" w:hAnsi="仿宋;CESI仿宋-GB13000"/>
                <w:sz w:val="28"/>
                <w:szCs w:val="28"/>
                <w:lang w:val="en-US" w:eastAsia="zh-CN"/>
              </w:rPr>
              <w:t>4</w:t>
            </w:r>
            <w:r>
              <w:rPr>
                <w:rFonts w:eastAsia="仿宋;CESI仿宋-GB13000" w:cs="仿宋;CESI仿宋-GB13000" w:ascii="仿宋;CESI仿宋-GB13000" w:hAnsi="仿宋;CESI仿宋-GB13000"/>
                <w:sz w:val="28"/>
                <w:szCs w:val="28"/>
              </w:rPr>
              <w:t>.</w:t>
            </w:r>
            <w:r>
              <w:rPr>
                <w:rFonts w:ascii="仿宋;CESI仿宋-GB13000" w:hAnsi="仿宋;CESI仿宋-GB13000" w:cs="仿宋;CESI仿宋-GB13000" w:eastAsia="仿宋;CESI仿宋-GB13000"/>
                <w:sz w:val="28"/>
                <w:szCs w:val="28"/>
              </w:rPr>
              <w:t>使用变性乙醇的，应注明所加入的变性剂名称及用量。变性剂也应收录在《已使用化妆品原料目录》中，变性剂有限用要求的，应按照规定的条件使用。</w:t>
            </w:r>
          </w:p>
        </w:tc>
        <w:tc>
          <w:tcPr>
            <w:tcW w:w="2378"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520"/>
              <w:jc w:val="center"/>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t>□</w:t>
            </w:r>
            <w:r>
              <w:rPr>
                <w:rFonts w:ascii="仿宋_GB2312;方正仿宋_GBK" w:hAnsi="仿宋_GB2312;方正仿宋_GBK" w:cs="仿宋_GB2312;方正仿宋_GBK" w:eastAsia="仿宋_GB2312;方正仿宋_GBK"/>
                <w:sz w:val="28"/>
                <w:szCs w:val="28"/>
              </w:rPr>
              <w:t>符合 □不符合</w:t>
            </w:r>
          </w:p>
        </w:tc>
        <w:tc>
          <w:tcPr>
            <w:tcW w:w="85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360"/>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r>
          </w:p>
        </w:tc>
      </w:tr>
      <w:tr>
        <w:trPr>
          <w:trHeight w:val="622" w:hRule="atLeast"/>
        </w:trPr>
        <w:tc>
          <w:tcPr>
            <w:tcW w:w="79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Arial;DejaVu Sans" w:hAnsi="Arial;DejaVu Sans" w:eastAsia="方正仿宋_GB2312;方正仿宋_GBK" w:cs="仿宋_GB2312;方正仿宋_GBK"/>
                <w:sz w:val="28"/>
                <w:szCs w:val="28"/>
              </w:rPr>
            </w:pPr>
            <w:r>
              <w:rPr>
                <w:rFonts w:eastAsia="方正仿宋_GB2312;方正仿宋_GBK" w:cs="仿宋_GB2312;方正仿宋_GBK" w:ascii="Arial;DejaVu Sans" w:hAnsi="Arial;DejaVu Sans"/>
                <w:sz w:val="28"/>
                <w:szCs w:val="28"/>
              </w:rPr>
            </w:r>
          </w:p>
        </w:tc>
        <w:tc>
          <w:tcPr>
            <w:tcW w:w="223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Arial;DejaVu Sans" w:hAnsi="Arial;DejaVu Sans" w:eastAsia="方正仿宋_GB2312;方正仿宋_GBK" w:cs="仿宋_GB2312;方正仿宋_GBK"/>
                <w:sz w:val="28"/>
                <w:szCs w:val="28"/>
              </w:rPr>
            </w:pPr>
            <w:r>
              <w:rPr>
                <w:rFonts w:eastAsia="方正仿宋_GB2312;方正仿宋_GBK" w:cs="仿宋_GB2312;方正仿宋_GBK" w:ascii="Arial;DejaVu Sans" w:hAnsi="Arial;DejaVu Sans"/>
                <w:sz w:val="28"/>
                <w:szCs w:val="28"/>
              </w:rPr>
            </w:r>
          </w:p>
        </w:tc>
        <w:tc>
          <w:tcPr>
            <w:tcW w:w="15026" w:type="dxa"/>
            <w:tcBorders>
              <w:top w:val="single" w:sz="4" w:space="0" w:color="000000"/>
              <w:left w:val="single" w:sz="4" w:space="0" w:color="000000"/>
              <w:bottom w:val="single" w:sz="4" w:space="0" w:color="000000"/>
              <w:right w:val="single" w:sz="4" w:space="0" w:color="000000"/>
            </w:tcBorders>
          </w:tcPr>
          <w:p>
            <w:pPr>
              <w:pStyle w:val="ListParagraph"/>
              <w:overflowPunct w:val="false"/>
              <w:snapToGrid w:val="false"/>
              <w:spacing w:lineRule="exact" w:line="400"/>
              <w:ind w:hanging="0"/>
              <w:jc w:val="left"/>
              <w:rPr>
                <w:rFonts w:ascii="仿宋;CESI仿宋-GB13000" w:hAnsi="仿宋;CESI仿宋-GB13000" w:eastAsia="仿宋;CESI仿宋-GB13000" w:cs="仿宋;CESI仿宋-GB13000"/>
                <w:sz w:val="28"/>
                <w:szCs w:val="28"/>
              </w:rPr>
            </w:pPr>
            <w:r>
              <w:rPr>
                <w:rFonts w:eastAsia="仿宋;CESI仿宋-GB13000" w:cs="仿宋;CESI仿宋-GB13000" w:ascii="仿宋;CESI仿宋-GB13000" w:hAnsi="仿宋;CESI仿宋-GB13000"/>
                <w:sz w:val="28"/>
                <w:szCs w:val="28"/>
              </w:rPr>
              <w:t>1</w:t>
            </w:r>
            <w:r>
              <w:rPr>
                <w:rFonts w:eastAsia="仿宋;CESI仿宋-GB13000" w:cs="仿宋;CESI仿宋-GB13000" w:ascii="仿宋;CESI仿宋-GB13000" w:hAnsi="仿宋;CESI仿宋-GB13000"/>
                <w:sz w:val="28"/>
                <w:szCs w:val="28"/>
                <w:lang w:val="en-US" w:eastAsia="zh-CN"/>
              </w:rPr>
              <w:t>5</w:t>
            </w:r>
            <w:r>
              <w:rPr>
                <w:rFonts w:eastAsia="仿宋;CESI仿宋-GB13000" w:cs="仿宋;CESI仿宋-GB13000" w:ascii="仿宋;CESI仿宋-GB13000" w:hAnsi="仿宋;CESI仿宋-GB13000"/>
                <w:sz w:val="28"/>
                <w:szCs w:val="28"/>
              </w:rPr>
              <w:t>.</w:t>
            </w:r>
            <w:r>
              <w:rPr>
                <w:rFonts w:ascii="仿宋;CESI仿宋-GB13000" w:hAnsi="仿宋;CESI仿宋-GB13000" w:cs="仿宋;CESI仿宋-GB13000" w:eastAsia="仿宋;CESI仿宋-GB13000"/>
                <w:sz w:val="28"/>
                <w:szCs w:val="28"/>
              </w:rPr>
              <w:t>产品配方不得含有禁用物质和未经注册或备案的新原料，限用组分和准用组分的使用应符合《化妆品安全技术规范》规定。</w:t>
            </w:r>
          </w:p>
        </w:tc>
        <w:tc>
          <w:tcPr>
            <w:tcW w:w="2378"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520"/>
              <w:jc w:val="center"/>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t>□</w:t>
            </w:r>
            <w:r>
              <w:rPr>
                <w:rFonts w:ascii="仿宋_GB2312;方正仿宋_GBK" w:hAnsi="仿宋_GB2312;方正仿宋_GBK" w:cs="仿宋_GB2312;方正仿宋_GBK" w:eastAsia="仿宋_GB2312;方正仿宋_GBK"/>
                <w:sz w:val="28"/>
                <w:szCs w:val="28"/>
              </w:rPr>
              <w:t>符合 □不符合</w:t>
            </w:r>
          </w:p>
        </w:tc>
        <w:tc>
          <w:tcPr>
            <w:tcW w:w="85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360"/>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r>
          </w:p>
        </w:tc>
      </w:tr>
      <w:tr>
        <w:trPr>
          <w:trHeight w:val="620" w:hRule="atLeast"/>
        </w:trPr>
        <w:tc>
          <w:tcPr>
            <w:tcW w:w="79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Arial;DejaVu Sans" w:hAnsi="Arial;DejaVu Sans" w:eastAsia="方正仿宋_GB2312;方正仿宋_GBK" w:cs="仿宋_GB2312;方正仿宋_GBK"/>
                <w:sz w:val="28"/>
                <w:szCs w:val="28"/>
              </w:rPr>
            </w:pPr>
            <w:r>
              <w:rPr>
                <w:rFonts w:eastAsia="方正仿宋_GB2312;方正仿宋_GBK" w:cs="仿宋_GB2312;方正仿宋_GBK" w:ascii="Arial;DejaVu Sans" w:hAnsi="Arial;DejaVu Sans"/>
                <w:sz w:val="28"/>
                <w:szCs w:val="28"/>
              </w:rPr>
            </w:r>
          </w:p>
        </w:tc>
        <w:tc>
          <w:tcPr>
            <w:tcW w:w="223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Arial;DejaVu Sans" w:hAnsi="Arial;DejaVu Sans" w:eastAsia="方正仿宋_GB2312;方正仿宋_GBK" w:cs="仿宋_GB2312;方正仿宋_GBK"/>
                <w:sz w:val="28"/>
                <w:szCs w:val="28"/>
              </w:rPr>
            </w:pPr>
            <w:r>
              <w:rPr>
                <w:rFonts w:eastAsia="方正仿宋_GB2312;方正仿宋_GBK" w:cs="仿宋_GB2312;方正仿宋_GBK" w:ascii="Arial;DejaVu Sans" w:hAnsi="Arial;DejaVu Sans"/>
                <w:sz w:val="28"/>
                <w:szCs w:val="28"/>
              </w:rPr>
            </w:r>
          </w:p>
        </w:tc>
        <w:tc>
          <w:tcPr>
            <w:tcW w:w="15026" w:type="dxa"/>
            <w:tcBorders>
              <w:top w:val="single" w:sz="4" w:space="0" w:color="000000"/>
              <w:left w:val="single" w:sz="4" w:space="0" w:color="000000"/>
              <w:bottom w:val="single" w:sz="4" w:space="0" w:color="000000"/>
              <w:right w:val="single" w:sz="4" w:space="0" w:color="000000"/>
            </w:tcBorders>
          </w:tcPr>
          <w:p>
            <w:pPr>
              <w:pStyle w:val="ListParagraph"/>
              <w:overflowPunct w:val="false"/>
              <w:snapToGrid w:val="false"/>
              <w:spacing w:lineRule="exact" w:line="400"/>
              <w:ind w:hanging="0"/>
              <w:jc w:val="left"/>
              <w:rPr>
                <w:rFonts w:ascii="仿宋;CESI仿宋-GB13000" w:hAnsi="仿宋;CESI仿宋-GB13000" w:eastAsia="仿宋;CESI仿宋-GB13000" w:cs="仿宋;CESI仿宋-GB13000"/>
                <w:sz w:val="28"/>
                <w:szCs w:val="28"/>
              </w:rPr>
            </w:pPr>
            <w:r>
              <w:rPr>
                <w:rFonts w:eastAsia="仿宋;CESI仿宋-GB13000" w:cs="仿宋;CESI仿宋-GB13000" w:ascii="仿宋;CESI仿宋-GB13000" w:hAnsi="仿宋;CESI仿宋-GB13000"/>
                <w:sz w:val="28"/>
                <w:szCs w:val="28"/>
              </w:rPr>
              <w:t>1</w:t>
            </w:r>
            <w:r>
              <w:rPr>
                <w:rFonts w:eastAsia="仿宋;CESI仿宋-GB13000" w:cs="仿宋;CESI仿宋-GB13000" w:ascii="仿宋;CESI仿宋-GB13000" w:hAnsi="仿宋;CESI仿宋-GB13000"/>
                <w:sz w:val="28"/>
                <w:szCs w:val="28"/>
                <w:lang w:val="en-US" w:eastAsia="zh-CN"/>
              </w:rPr>
              <w:t>6</w:t>
            </w:r>
            <w:r>
              <w:rPr>
                <w:rFonts w:eastAsia="仿宋;CESI仿宋-GB13000" w:cs="仿宋;CESI仿宋-GB13000" w:ascii="仿宋;CESI仿宋-GB13000" w:hAnsi="仿宋;CESI仿宋-GB13000"/>
                <w:sz w:val="28"/>
                <w:szCs w:val="28"/>
              </w:rPr>
              <w:t>.</w:t>
            </w:r>
            <w:r>
              <w:rPr>
                <w:rFonts w:ascii="仿宋;CESI仿宋-GB13000" w:hAnsi="仿宋;CESI仿宋-GB13000" w:cs="仿宋;CESI仿宋-GB13000" w:eastAsia="仿宋;CESI仿宋-GB13000"/>
                <w:sz w:val="28"/>
                <w:szCs w:val="28"/>
              </w:rPr>
              <w:t>配方含有与产品内容物直接接触的推进剂的，推进剂组成和含量应进行单独填报，推进剂含量合计为</w:t>
            </w:r>
            <w:r>
              <w:rPr>
                <w:rFonts w:eastAsia="仿宋;CESI仿宋-GB13000" w:cs="仿宋;CESI仿宋-GB13000" w:ascii="仿宋;CESI仿宋-GB13000" w:hAnsi="仿宋;CESI仿宋-GB13000"/>
                <w:sz w:val="28"/>
                <w:szCs w:val="28"/>
              </w:rPr>
              <w:t>100%</w:t>
            </w:r>
            <w:r>
              <w:rPr>
                <w:rFonts w:ascii="仿宋;CESI仿宋-GB13000" w:hAnsi="仿宋;CESI仿宋-GB13000" w:cs="仿宋;CESI仿宋-GB13000" w:eastAsia="仿宋;CESI仿宋-GB13000"/>
                <w:sz w:val="28"/>
                <w:szCs w:val="28"/>
              </w:rPr>
              <w:t>，同时标注推进剂和料体的灌装比例。（二元包装气雾剂中，内容物与推进剂分开，不属于与内容物直接接触的推进剂的产品）</w:t>
            </w:r>
          </w:p>
        </w:tc>
        <w:tc>
          <w:tcPr>
            <w:tcW w:w="2378"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520"/>
              <w:jc w:val="center"/>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t>□</w:t>
            </w:r>
            <w:r>
              <w:rPr>
                <w:rFonts w:ascii="仿宋_GB2312;方正仿宋_GBK" w:hAnsi="仿宋_GB2312;方正仿宋_GBK" w:cs="仿宋_GB2312;方正仿宋_GBK" w:eastAsia="仿宋_GB2312;方正仿宋_GBK"/>
                <w:sz w:val="28"/>
                <w:szCs w:val="28"/>
              </w:rPr>
              <w:t>符合 □不符合</w:t>
            </w:r>
          </w:p>
        </w:tc>
        <w:tc>
          <w:tcPr>
            <w:tcW w:w="85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360"/>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r>
          </w:p>
        </w:tc>
      </w:tr>
      <w:tr>
        <w:trPr>
          <w:trHeight w:val="732" w:hRule="atLeast"/>
        </w:trPr>
        <w:tc>
          <w:tcPr>
            <w:tcW w:w="79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Arial;DejaVu Sans" w:hAnsi="Arial;DejaVu Sans" w:eastAsia="方正仿宋_GB2312;方正仿宋_GBK" w:cs="仿宋_GB2312;方正仿宋_GBK"/>
                <w:sz w:val="28"/>
                <w:szCs w:val="28"/>
              </w:rPr>
            </w:pPr>
            <w:r>
              <w:rPr>
                <w:rFonts w:eastAsia="方正仿宋_GB2312;方正仿宋_GBK" w:cs="仿宋_GB2312;方正仿宋_GBK" w:ascii="Arial;DejaVu Sans" w:hAnsi="Arial;DejaVu Sans"/>
                <w:sz w:val="28"/>
                <w:szCs w:val="28"/>
              </w:rPr>
            </w:r>
          </w:p>
        </w:tc>
        <w:tc>
          <w:tcPr>
            <w:tcW w:w="223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Arial;DejaVu Sans" w:hAnsi="Arial;DejaVu Sans" w:eastAsia="方正仿宋_GB2312;方正仿宋_GBK" w:cs="仿宋_GB2312;方正仿宋_GBK"/>
                <w:sz w:val="28"/>
                <w:szCs w:val="28"/>
              </w:rPr>
            </w:pPr>
            <w:r>
              <w:rPr>
                <w:rFonts w:eastAsia="方正仿宋_GB2312;方正仿宋_GBK" w:cs="仿宋_GB2312;方正仿宋_GBK" w:ascii="Arial;DejaVu Sans" w:hAnsi="Arial;DejaVu Sans"/>
                <w:sz w:val="28"/>
                <w:szCs w:val="28"/>
              </w:rPr>
            </w:r>
          </w:p>
        </w:tc>
        <w:tc>
          <w:tcPr>
            <w:tcW w:w="15026" w:type="dxa"/>
            <w:tcBorders>
              <w:top w:val="single" w:sz="4" w:space="0" w:color="000000"/>
              <w:left w:val="single" w:sz="4" w:space="0" w:color="000000"/>
              <w:bottom w:val="single" w:sz="4" w:space="0" w:color="000000"/>
              <w:right w:val="single" w:sz="4" w:space="0" w:color="000000"/>
            </w:tcBorders>
          </w:tcPr>
          <w:p>
            <w:pPr>
              <w:pStyle w:val="ListParagraph"/>
              <w:overflowPunct w:val="false"/>
              <w:snapToGrid w:val="false"/>
              <w:spacing w:lineRule="exact" w:line="400"/>
              <w:ind w:hanging="0"/>
              <w:jc w:val="left"/>
              <w:rPr>
                <w:rFonts w:ascii="仿宋;CESI仿宋-GB13000" w:hAnsi="仿宋;CESI仿宋-GB13000" w:eastAsia="仿宋;CESI仿宋-GB13000" w:cs="仿宋;CESI仿宋-GB13000"/>
                <w:sz w:val="28"/>
                <w:szCs w:val="28"/>
              </w:rPr>
            </w:pPr>
            <w:r>
              <w:rPr>
                <w:rFonts w:eastAsia="仿宋;CESI仿宋-GB13000" w:cs="仿宋;CESI仿宋-GB13000" w:ascii="仿宋;CESI仿宋-GB13000" w:hAnsi="仿宋;CESI仿宋-GB13000"/>
                <w:sz w:val="28"/>
                <w:szCs w:val="28"/>
              </w:rPr>
              <w:t>1</w:t>
            </w:r>
            <w:r>
              <w:rPr>
                <w:rFonts w:eastAsia="仿宋;CESI仿宋-GB13000" w:cs="仿宋;CESI仿宋-GB13000" w:ascii="仿宋;CESI仿宋-GB13000" w:hAnsi="仿宋;CESI仿宋-GB13000"/>
                <w:sz w:val="28"/>
                <w:szCs w:val="28"/>
                <w:lang w:val="en-US" w:eastAsia="zh-CN"/>
              </w:rPr>
              <w:t>7</w:t>
            </w:r>
            <w:r>
              <w:rPr>
                <w:rFonts w:eastAsia="仿宋;CESI仿宋-GB13000" w:cs="仿宋;CESI仿宋-GB13000" w:ascii="仿宋;CESI仿宋-GB13000" w:hAnsi="仿宋;CESI仿宋-GB13000"/>
                <w:sz w:val="28"/>
                <w:szCs w:val="28"/>
              </w:rPr>
              <w:t>.</w:t>
            </w:r>
            <w:r>
              <w:rPr>
                <w:rFonts w:ascii="仿宋;CESI仿宋-GB13000" w:hAnsi="仿宋;CESI仿宋-GB13000" w:cs="仿宋;CESI仿宋-GB13000" w:eastAsia="仿宋;CESI仿宋-GB13000"/>
                <w:sz w:val="28"/>
                <w:szCs w:val="28"/>
              </w:rPr>
              <w:t>产品配方中标注为防腐剂的，应当符合规范的有关要求，未列入《化妆品安全技术规范》防腐剂列表的原料使用目的不得为防腐剂；产品配方中所用着色剂应是规范中准用着色剂，并符合其规定。</w:t>
            </w:r>
          </w:p>
        </w:tc>
        <w:tc>
          <w:tcPr>
            <w:tcW w:w="2378"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520"/>
              <w:jc w:val="center"/>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t>□</w:t>
            </w:r>
            <w:r>
              <w:rPr>
                <w:rFonts w:ascii="仿宋_GB2312;方正仿宋_GBK" w:hAnsi="仿宋_GB2312;方正仿宋_GBK" w:cs="仿宋_GB2312;方正仿宋_GBK" w:eastAsia="仿宋_GB2312;方正仿宋_GBK"/>
                <w:sz w:val="28"/>
                <w:szCs w:val="28"/>
              </w:rPr>
              <w:t>符合 □不符合</w:t>
            </w:r>
          </w:p>
        </w:tc>
        <w:tc>
          <w:tcPr>
            <w:tcW w:w="85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360"/>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r>
          </w:p>
        </w:tc>
      </w:tr>
      <w:tr>
        <w:trPr>
          <w:trHeight w:val="550" w:hRule="atLeast"/>
        </w:trPr>
        <w:tc>
          <w:tcPr>
            <w:tcW w:w="79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Arial;DejaVu Sans" w:hAnsi="Arial;DejaVu Sans" w:eastAsia="方正仿宋_GB2312;方正仿宋_GBK" w:cs="仿宋_GB2312;方正仿宋_GBK"/>
                <w:sz w:val="28"/>
                <w:szCs w:val="28"/>
              </w:rPr>
            </w:pPr>
            <w:r>
              <w:rPr>
                <w:rFonts w:eastAsia="方正仿宋_GB2312;方正仿宋_GBK" w:cs="仿宋_GB2312;方正仿宋_GBK" w:ascii="Arial;DejaVu Sans" w:hAnsi="Arial;DejaVu Sans"/>
                <w:sz w:val="28"/>
                <w:szCs w:val="28"/>
              </w:rPr>
            </w:r>
          </w:p>
        </w:tc>
        <w:tc>
          <w:tcPr>
            <w:tcW w:w="223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Arial;DejaVu Sans" w:hAnsi="Arial;DejaVu Sans" w:eastAsia="方正仿宋_GB2312;方正仿宋_GBK" w:cs="仿宋_GB2312;方正仿宋_GBK"/>
                <w:sz w:val="28"/>
                <w:szCs w:val="28"/>
              </w:rPr>
            </w:pPr>
            <w:r>
              <w:rPr>
                <w:rFonts w:eastAsia="方正仿宋_GB2312;方正仿宋_GBK" w:cs="仿宋_GB2312;方正仿宋_GBK" w:ascii="Arial;DejaVu Sans" w:hAnsi="Arial;DejaVu Sans"/>
                <w:sz w:val="28"/>
                <w:szCs w:val="28"/>
              </w:rPr>
            </w:r>
          </w:p>
        </w:tc>
        <w:tc>
          <w:tcPr>
            <w:tcW w:w="15026" w:type="dxa"/>
            <w:tcBorders>
              <w:top w:val="single" w:sz="4" w:space="0" w:color="000000"/>
              <w:left w:val="single" w:sz="4" w:space="0" w:color="000000"/>
              <w:bottom w:val="single" w:sz="4" w:space="0" w:color="000000"/>
              <w:right w:val="single" w:sz="4" w:space="0" w:color="000000"/>
            </w:tcBorders>
          </w:tcPr>
          <w:p>
            <w:pPr>
              <w:pStyle w:val="ListParagraph"/>
              <w:overflowPunct w:val="false"/>
              <w:spacing w:lineRule="exact" w:line="400"/>
              <w:ind w:hanging="0"/>
              <w:jc w:val="left"/>
              <w:rPr>
                <w:rFonts w:ascii="仿宋;CESI仿宋-GB13000" w:hAnsi="仿宋;CESI仿宋-GB13000" w:eastAsia="仿宋;CESI仿宋-GB13000" w:cs="仿宋;CESI仿宋-GB13000"/>
                <w:sz w:val="28"/>
                <w:szCs w:val="28"/>
              </w:rPr>
            </w:pPr>
            <w:r>
              <w:rPr>
                <w:rFonts w:eastAsia="仿宋;CESI仿宋-GB13000" w:cs="仿宋;CESI仿宋-GB13000" w:ascii="仿宋;CESI仿宋-GB13000" w:hAnsi="仿宋;CESI仿宋-GB13000"/>
                <w:sz w:val="28"/>
                <w:szCs w:val="28"/>
                <w:lang w:val="en-US" w:eastAsia="zh-CN"/>
              </w:rPr>
              <w:t>18</w:t>
            </w:r>
            <w:r>
              <w:rPr>
                <w:rFonts w:eastAsia="仿宋;CESI仿宋-GB13000" w:cs="仿宋;CESI仿宋-GB13000" w:ascii="仿宋;CESI仿宋-GB13000" w:hAnsi="仿宋;CESI仿宋-GB13000"/>
                <w:sz w:val="28"/>
                <w:szCs w:val="28"/>
              </w:rPr>
              <w:t>.</w:t>
            </w:r>
            <w:r>
              <w:rPr>
                <w:rFonts w:ascii="仿宋;CESI仿宋-GB13000" w:hAnsi="仿宋;CESI仿宋-GB13000" w:cs="仿宋;CESI仿宋-GB13000" w:eastAsia="仿宋;CESI仿宋-GB13000"/>
                <w:sz w:val="28"/>
                <w:szCs w:val="28"/>
              </w:rPr>
              <w:t>产品使用防晒剂或表外防晒剂保护产品的，其使用量应经过安全性评估，证明其安全性。</w:t>
            </w:r>
          </w:p>
        </w:tc>
        <w:tc>
          <w:tcPr>
            <w:tcW w:w="2378"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520"/>
              <w:jc w:val="center"/>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t>□</w:t>
            </w:r>
            <w:r>
              <w:rPr>
                <w:rFonts w:ascii="仿宋_GB2312;方正仿宋_GBK" w:hAnsi="仿宋_GB2312;方正仿宋_GBK" w:cs="仿宋_GB2312;方正仿宋_GBK" w:eastAsia="仿宋_GB2312;方正仿宋_GBK"/>
                <w:sz w:val="28"/>
                <w:szCs w:val="28"/>
              </w:rPr>
              <w:t>符合 □不符合</w:t>
            </w:r>
          </w:p>
        </w:tc>
        <w:tc>
          <w:tcPr>
            <w:tcW w:w="85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360"/>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r>
          </w:p>
        </w:tc>
      </w:tr>
      <w:tr>
        <w:trPr>
          <w:trHeight w:val="582" w:hRule="atLeast"/>
        </w:trPr>
        <w:tc>
          <w:tcPr>
            <w:tcW w:w="79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Arial;DejaVu Sans" w:hAnsi="Arial;DejaVu Sans" w:eastAsia="方正仿宋_GB2312;方正仿宋_GBK" w:cs="仿宋_GB2312;方正仿宋_GBK"/>
                <w:sz w:val="28"/>
                <w:szCs w:val="28"/>
              </w:rPr>
            </w:pPr>
            <w:r>
              <w:rPr>
                <w:rFonts w:eastAsia="方正仿宋_GB2312;方正仿宋_GBK" w:cs="仿宋_GB2312;方正仿宋_GBK" w:ascii="Arial;DejaVu Sans" w:hAnsi="Arial;DejaVu Sans"/>
                <w:sz w:val="28"/>
                <w:szCs w:val="28"/>
              </w:rPr>
            </w:r>
          </w:p>
        </w:tc>
        <w:tc>
          <w:tcPr>
            <w:tcW w:w="223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Arial;DejaVu Sans" w:hAnsi="Arial;DejaVu Sans" w:eastAsia="方正仿宋_GB2312;方正仿宋_GBK" w:cs="仿宋_GB2312;方正仿宋_GBK"/>
                <w:sz w:val="28"/>
                <w:szCs w:val="28"/>
              </w:rPr>
            </w:pPr>
            <w:r>
              <w:rPr>
                <w:rFonts w:eastAsia="方正仿宋_GB2312;方正仿宋_GBK" w:cs="仿宋_GB2312;方正仿宋_GBK" w:ascii="Arial;DejaVu Sans" w:hAnsi="Arial;DejaVu Sans"/>
                <w:sz w:val="28"/>
                <w:szCs w:val="28"/>
              </w:rPr>
            </w:r>
          </w:p>
        </w:tc>
        <w:tc>
          <w:tcPr>
            <w:tcW w:w="15026" w:type="dxa"/>
            <w:tcBorders>
              <w:top w:val="single" w:sz="4" w:space="0" w:color="000000"/>
              <w:left w:val="single" w:sz="4" w:space="0" w:color="000000"/>
              <w:bottom w:val="single" w:sz="4" w:space="0" w:color="000000"/>
              <w:right w:val="single" w:sz="4" w:space="0" w:color="000000"/>
            </w:tcBorders>
          </w:tcPr>
          <w:p>
            <w:pPr>
              <w:pStyle w:val="ListParagraph"/>
              <w:overflowPunct w:val="false"/>
              <w:spacing w:lineRule="exact" w:line="400"/>
              <w:ind w:hanging="0"/>
              <w:jc w:val="left"/>
              <w:rPr>
                <w:rFonts w:ascii="仿宋;CESI仿宋-GB13000" w:hAnsi="仿宋;CESI仿宋-GB13000" w:eastAsia="仿宋;CESI仿宋-GB13000" w:cs="仿宋;CESI仿宋-GB13000"/>
                <w:sz w:val="28"/>
                <w:szCs w:val="28"/>
              </w:rPr>
            </w:pPr>
            <w:r>
              <w:rPr>
                <w:rFonts w:eastAsia="仿宋;CESI仿宋-GB13000" w:cs="仿宋;CESI仿宋-GB13000" w:ascii="仿宋;CESI仿宋-GB13000" w:hAnsi="仿宋;CESI仿宋-GB13000"/>
                <w:sz w:val="28"/>
                <w:szCs w:val="28"/>
                <w:lang w:val="en-US" w:eastAsia="zh-CN"/>
              </w:rPr>
              <w:t>19</w:t>
            </w:r>
            <w:r>
              <w:rPr>
                <w:rFonts w:eastAsia="仿宋;CESI仿宋-GB13000" w:cs="仿宋;CESI仿宋-GB13000" w:ascii="仿宋;CESI仿宋-GB13000" w:hAnsi="仿宋;CESI仿宋-GB13000"/>
                <w:sz w:val="28"/>
                <w:szCs w:val="28"/>
              </w:rPr>
              <w:t>.</w:t>
            </w:r>
            <w:r>
              <w:rPr>
                <w:rFonts w:ascii="仿宋;CESI仿宋-GB13000" w:hAnsi="仿宋;CESI仿宋-GB13000" w:cs="仿宋;CESI仿宋-GB13000" w:eastAsia="仿宋;CESI仿宋-GB13000"/>
                <w:sz w:val="28"/>
                <w:szCs w:val="28"/>
              </w:rPr>
              <w:t>宣称祛痘、抗皱、去屑、除臭功效的化妆品，应在配方表使用目的栏中标注相应的功效原料，如果上述需标注的功效原料不是单一组分，应当在使用目的栏中明确其具体的功效成分。</w:t>
            </w:r>
          </w:p>
        </w:tc>
        <w:tc>
          <w:tcPr>
            <w:tcW w:w="2378"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520"/>
              <w:jc w:val="center"/>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t>□</w:t>
            </w:r>
            <w:r>
              <w:rPr>
                <w:rFonts w:ascii="仿宋_GB2312;方正仿宋_GBK" w:hAnsi="仿宋_GB2312;方正仿宋_GBK" w:cs="仿宋_GB2312;方正仿宋_GBK" w:eastAsia="仿宋_GB2312;方正仿宋_GBK"/>
                <w:sz w:val="28"/>
                <w:szCs w:val="28"/>
              </w:rPr>
              <w:t>符合 □不符合</w:t>
            </w:r>
          </w:p>
        </w:tc>
        <w:tc>
          <w:tcPr>
            <w:tcW w:w="85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360"/>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r>
          </w:p>
        </w:tc>
      </w:tr>
      <w:tr>
        <w:trPr>
          <w:trHeight w:val="166" w:hRule="atLeast"/>
        </w:trPr>
        <w:tc>
          <w:tcPr>
            <w:tcW w:w="79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Arial;DejaVu Sans" w:hAnsi="Arial;DejaVu Sans" w:eastAsia="方正仿宋_GB2312;方正仿宋_GBK" w:cs="仿宋_GB2312;方正仿宋_GBK"/>
                <w:sz w:val="28"/>
                <w:szCs w:val="28"/>
              </w:rPr>
            </w:pPr>
            <w:r>
              <w:rPr>
                <w:rFonts w:eastAsia="方正仿宋_GB2312;方正仿宋_GBK" w:cs="仿宋_GB2312;方正仿宋_GBK" w:ascii="Arial;DejaVu Sans" w:hAnsi="Arial;DejaVu Sans"/>
                <w:sz w:val="28"/>
                <w:szCs w:val="28"/>
              </w:rPr>
            </w:r>
          </w:p>
        </w:tc>
        <w:tc>
          <w:tcPr>
            <w:tcW w:w="223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Arial;DejaVu Sans" w:hAnsi="Arial;DejaVu Sans" w:eastAsia="方正仿宋_GB2312;方正仿宋_GBK" w:cs="仿宋_GB2312;方正仿宋_GBK"/>
                <w:sz w:val="28"/>
                <w:szCs w:val="28"/>
              </w:rPr>
            </w:pPr>
            <w:r>
              <w:rPr>
                <w:rFonts w:eastAsia="方正仿宋_GB2312;方正仿宋_GBK" w:cs="仿宋_GB2312;方正仿宋_GBK" w:ascii="Arial;DejaVu Sans" w:hAnsi="Arial;DejaVu Sans"/>
                <w:sz w:val="28"/>
                <w:szCs w:val="28"/>
              </w:rPr>
            </w:r>
          </w:p>
        </w:tc>
        <w:tc>
          <w:tcPr>
            <w:tcW w:w="15026" w:type="dxa"/>
            <w:tcBorders>
              <w:top w:val="single" w:sz="4" w:space="0" w:color="000000"/>
              <w:left w:val="single" w:sz="4" w:space="0" w:color="000000"/>
              <w:bottom w:val="single" w:sz="4" w:space="0" w:color="000000"/>
              <w:right w:val="single" w:sz="4" w:space="0" w:color="000000"/>
            </w:tcBorders>
          </w:tcPr>
          <w:p>
            <w:pPr>
              <w:pStyle w:val="ListParagraph"/>
              <w:overflowPunct w:val="false"/>
              <w:spacing w:lineRule="exact" w:line="400"/>
              <w:ind w:hanging="0"/>
              <w:jc w:val="left"/>
              <w:rPr>
                <w:rFonts w:ascii="仿宋;CESI仿宋-GB13000" w:hAnsi="仿宋;CESI仿宋-GB13000" w:eastAsia="仿宋;CESI仿宋-GB13000" w:cs="仿宋;CESI仿宋-GB13000"/>
                <w:sz w:val="28"/>
                <w:szCs w:val="28"/>
                <w:lang w:val="en-US" w:eastAsia="zh-CN"/>
              </w:rPr>
            </w:pPr>
            <w:r>
              <w:rPr>
                <w:rFonts w:eastAsia="仿宋;CESI仿宋-GB13000" w:cs="仿宋;CESI仿宋-GB13000" w:ascii="仿宋;CESI仿宋-GB13000" w:hAnsi="仿宋;CESI仿宋-GB13000"/>
                <w:sz w:val="28"/>
                <w:szCs w:val="28"/>
                <w:lang w:val="en-US" w:eastAsia="zh-CN"/>
              </w:rPr>
              <w:t>20.</w:t>
            </w:r>
            <w:r>
              <w:rPr>
                <w:rFonts w:ascii="仿宋;CESI仿宋-GB13000" w:hAnsi="仿宋;CESI仿宋-GB13000" w:cs="仿宋;CESI仿宋-GB13000" w:eastAsia="仿宋;CESI仿宋-GB13000"/>
                <w:sz w:val="28"/>
                <w:szCs w:val="28"/>
                <w:lang w:val="en-US" w:eastAsia="zh-CN"/>
              </w:rPr>
              <w:t>凡宣称为儿童或婴儿使用的产品，应当提供基于安全性考虑的产品配方设计原则（含产品配方整体分析报告）、原料的选择原则及要求、产品技术要求等内容的资料。</w:t>
            </w:r>
          </w:p>
        </w:tc>
        <w:tc>
          <w:tcPr>
            <w:tcW w:w="2378"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520"/>
              <w:jc w:val="center"/>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t>□</w:t>
            </w:r>
            <w:r>
              <w:rPr>
                <w:rFonts w:ascii="仿宋_GB2312;方正仿宋_GBK" w:hAnsi="仿宋_GB2312;方正仿宋_GBK" w:cs="仿宋_GB2312;方正仿宋_GBK" w:eastAsia="仿宋_GB2312;方正仿宋_GBK"/>
                <w:sz w:val="28"/>
                <w:szCs w:val="28"/>
              </w:rPr>
              <w:t>符合 □不符合</w:t>
            </w:r>
          </w:p>
        </w:tc>
        <w:tc>
          <w:tcPr>
            <w:tcW w:w="85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360"/>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r>
          </w:p>
        </w:tc>
      </w:tr>
      <w:tr>
        <w:trPr>
          <w:trHeight w:val="285" w:hRule="atLeast"/>
        </w:trPr>
        <w:tc>
          <w:tcPr>
            <w:tcW w:w="79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Arial;DejaVu Sans" w:hAnsi="Arial;DejaVu Sans" w:eastAsia="方正仿宋_GB2312;方正仿宋_GBK" w:cs="仿宋_GB2312;方正仿宋_GBK"/>
                <w:sz w:val="28"/>
                <w:szCs w:val="28"/>
              </w:rPr>
            </w:pPr>
            <w:r>
              <w:rPr>
                <w:rFonts w:eastAsia="方正仿宋_GB2312;方正仿宋_GBK" w:cs="仿宋_GB2312;方正仿宋_GBK" w:ascii="Arial;DejaVu Sans" w:hAnsi="Arial;DejaVu Sans"/>
                <w:sz w:val="28"/>
                <w:szCs w:val="28"/>
              </w:rPr>
            </w:r>
          </w:p>
        </w:tc>
        <w:tc>
          <w:tcPr>
            <w:tcW w:w="223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Arial;DejaVu Sans" w:hAnsi="Arial;DejaVu Sans" w:eastAsia="方正仿宋_GB2312;方正仿宋_GBK" w:cs="仿宋_GB2312;方正仿宋_GBK"/>
                <w:sz w:val="28"/>
                <w:szCs w:val="28"/>
              </w:rPr>
            </w:pPr>
            <w:r>
              <w:rPr>
                <w:rFonts w:eastAsia="方正仿宋_GB2312;方正仿宋_GBK" w:cs="仿宋_GB2312;方正仿宋_GBK" w:ascii="Arial;DejaVu Sans" w:hAnsi="Arial;DejaVu Sans"/>
                <w:sz w:val="28"/>
                <w:szCs w:val="28"/>
              </w:rPr>
            </w:r>
          </w:p>
        </w:tc>
        <w:tc>
          <w:tcPr>
            <w:tcW w:w="15026" w:type="dxa"/>
            <w:tcBorders>
              <w:top w:val="single" w:sz="4" w:space="0" w:color="000000"/>
              <w:left w:val="single" w:sz="4" w:space="0" w:color="000000"/>
              <w:bottom w:val="single" w:sz="4" w:space="0" w:color="000000"/>
              <w:right w:val="single" w:sz="4" w:space="0" w:color="000000"/>
            </w:tcBorders>
          </w:tcPr>
          <w:p>
            <w:pPr>
              <w:pStyle w:val="ListParagraph"/>
              <w:overflowPunct w:val="false"/>
              <w:snapToGrid w:val="false"/>
              <w:spacing w:lineRule="exact" w:line="400"/>
              <w:ind w:hanging="0"/>
              <w:jc w:val="left"/>
              <w:rPr>
                <w:rFonts w:ascii="仿宋;CESI仿宋-GB13000" w:hAnsi="仿宋;CESI仿宋-GB13000" w:eastAsia="仿宋;CESI仿宋-GB13000" w:cs="仿宋;CESI仿宋-GB13000"/>
                <w:sz w:val="28"/>
                <w:szCs w:val="28"/>
              </w:rPr>
            </w:pPr>
            <w:r>
              <w:rPr>
                <w:rFonts w:eastAsia="仿宋;CESI仿宋-GB13000" w:cs="仿宋;CESI仿宋-GB13000" w:ascii="仿宋;CESI仿宋-GB13000" w:hAnsi="仿宋;CESI仿宋-GB13000"/>
                <w:sz w:val="28"/>
                <w:szCs w:val="28"/>
              </w:rPr>
              <w:t>2</w:t>
            </w:r>
            <w:r>
              <w:rPr>
                <w:rFonts w:eastAsia="仿宋;CESI仿宋-GB13000" w:cs="仿宋;CESI仿宋-GB13000" w:ascii="仿宋;CESI仿宋-GB13000" w:hAnsi="仿宋;CESI仿宋-GB13000"/>
                <w:sz w:val="28"/>
                <w:szCs w:val="28"/>
                <w:lang w:val="en-US" w:eastAsia="zh-CN"/>
              </w:rPr>
              <w:t>1</w:t>
            </w:r>
            <w:r>
              <w:rPr>
                <w:rFonts w:eastAsia="仿宋;CESI仿宋-GB13000" w:cs="仿宋;CESI仿宋-GB13000" w:ascii="仿宋;CESI仿宋-GB13000" w:hAnsi="仿宋;CESI仿宋-GB13000"/>
                <w:sz w:val="28"/>
                <w:szCs w:val="28"/>
              </w:rPr>
              <w:t>.</w:t>
            </w:r>
            <w:r>
              <w:rPr>
                <w:rFonts w:ascii="仿宋;CESI仿宋-GB13000" w:hAnsi="仿宋;CESI仿宋-GB13000" w:cs="仿宋;CESI仿宋-GB13000" w:eastAsia="仿宋;CESI仿宋-GB13000"/>
                <w:sz w:val="28"/>
                <w:szCs w:val="28"/>
              </w:rPr>
              <w:t>使用贴，膜类载体材料的，应注明主要载体材料的材质组成，同时提供其来源，制备工艺，质量控制指标等资料。</w:t>
            </w:r>
          </w:p>
        </w:tc>
        <w:tc>
          <w:tcPr>
            <w:tcW w:w="2378"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520"/>
              <w:jc w:val="center"/>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t>□</w:t>
            </w:r>
            <w:r>
              <w:rPr>
                <w:rFonts w:ascii="仿宋_GB2312;方正仿宋_GBK" w:hAnsi="仿宋_GB2312;方正仿宋_GBK" w:cs="仿宋_GB2312;方正仿宋_GBK" w:eastAsia="仿宋_GB2312;方正仿宋_GBK"/>
                <w:sz w:val="28"/>
                <w:szCs w:val="28"/>
              </w:rPr>
              <w:t>符合 □不符合</w:t>
            </w:r>
          </w:p>
        </w:tc>
        <w:tc>
          <w:tcPr>
            <w:tcW w:w="85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360"/>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r>
          </w:p>
        </w:tc>
      </w:tr>
      <w:tr>
        <w:trPr>
          <w:trHeight w:val="436" w:hRule="atLeast"/>
        </w:trPr>
        <w:tc>
          <w:tcPr>
            <w:tcW w:w="79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Arial;DejaVu Sans" w:hAnsi="Arial;DejaVu Sans" w:eastAsia="方正仿宋_GB2312;方正仿宋_GBK" w:cs="仿宋_GB2312;方正仿宋_GBK"/>
                <w:sz w:val="28"/>
                <w:szCs w:val="28"/>
              </w:rPr>
            </w:pPr>
            <w:r>
              <w:rPr>
                <w:rFonts w:eastAsia="方正仿宋_GB2312;方正仿宋_GBK" w:cs="仿宋_GB2312;方正仿宋_GBK" w:ascii="Arial;DejaVu Sans" w:hAnsi="Arial;DejaVu Sans"/>
                <w:sz w:val="28"/>
                <w:szCs w:val="28"/>
              </w:rPr>
            </w:r>
          </w:p>
        </w:tc>
        <w:tc>
          <w:tcPr>
            <w:tcW w:w="223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Arial;DejaVu Sans" w:hAnsi="Arial;DejaVu Sans" w:eastAsia="方正仿宋_GB2312;方正仿宋_GBK" w:cs="仿宋_GB2312;方正仿宋_GBK"/>
                <w:sz w:val="28"/>
                <w:szCs w:val="28"/>
              </w:rPr>
            </w:pPr>
            <w:r>
              <w:rPr>
                <w:rFonts w:eastAsia="方正仿宋_GB2312;方正仿宋_GBK" w:cs="仿宋_GB2312;方正仿宋_GBK" w:ascii="Arial;DejaVu Sans" w:hAnsi="Arial;DejaVu Sans"/>
                <w:sz w:val="28"/>
                <w:szCs w:val="28"/>
              </w:rPr>
            </w:r>
          </w:p>
        </w:tc>
        <w:tc>
          <w:tcPr>
            <w:tcW w:w="15026" w:type="dxa"/>
            <w:tcBorders>
              <w:top w:val="single" w:sz="4" w:space="0" w:color="000000"/>
              <w:left w:val="single" w:sz="4" w:space="0" w:color="000000"/>
              <w:bottom w:val="single" w:sz="4" w:space="0" w:color="000000"/>
              <w:right w:val="single" w:sz="4" w:space="0" w:color="000000"/>
            </w:tcBorders>
          </w:tcPr>
          <w:p>
            <w:pPr>
              <w:pStyle w:val="ListParagraph"/>
              <w:overflowPunct w:val="false"/>
              <w:spacing w:lineRule="exact" w:line="400"/>
              <w:ind w:hanging="0"/>
              <w:jc w:val="left"/>
              <w:rPr>
                <w:rFonts w:ascii="仿宋;CESI仿宋-GB13000" w:hAnsi="仿宋;CESI仿宋-GB13000" w:eastAsia="仿宋;CESI仿宋-GB13000" w:cs="仿宋;CESI仿宋-GB13000"/>
                <w:sz w:val="28"/>
                <w:szCs w:val="28"/>
              </w:rPr>
            </w:pPr>
            <w:r>
              <w:rPr>
                <w:rFonts w:eastAsia="仿宋;CESI仿宋-GB13000" w:cs="仿宋;CESI仿宋-GB13000" w:ascii="仿宋;CESI仿宋-GB13000" w:hAnsi="仿宋;CESI仿宋-GB13000"/>
                <w:sz w:val="28"/>
                <w:szCs w:val="28"/>
              </w:rPr>
              <w:t>2</w:t>
            </w:r>
            <w:r>
              <w:rPr>
                <w:rFonts w:eastAsia="仿宋;CESI仿宋-GB13000" w:cs="仿宋;CESI仿宋-GB13000" w:ascii="仿宋;CESI仿宋-GB13000" w:hAnsi="仿宋;CESI仿宋-GB13000"/>
                <w:sz w:val="28"/>
                <w:szCs w:val="28"/>
                <w:lang w:val="en-US" w:eastAsia="zh-CN"/>
              </w:rPr>
              <w:t>2</w:t>
            </w:r>
            <w:r>
              <w:rPr>
                <w:rFonts w:eastAsia="仿宋;CESI仿宋-GB13000" w:cs="仿宋;CESI仿宋-GB13000" w:ascii="仿宋;CESI仿宋-GB13000" w:hAnsi="仿宋;CESI仿宋-GB13000"/>
                <w:sz w:val="28"/>
                <w:szCs w:val="28"/>
              </w:rPr>
              <w:t>.</w:t>
            </w:r>
            <w:r>
              <w:rPr>
                <w:rFonts w:ascii="仿宋;CESI仿宋-GB13000" w:hAnsi="仿宋;CESI仿宋-GB13000" w:cs="仿宋;CESI仿宋-GB13000" w:eastAsia="仿宋;CESI仿宋-GB13000"/>
                <w:sz w:val="28"/>
                <w:szCs w:val="28"/>
              </w:rPr>
              <w:t>进口产品原包装标注成分的</w:t>
            </w:r>
            <w:r>
              <w:rPr>
                <w:rFonts w:eastAsia="仿宋;CESI仿宋-GB13000" w:cs="仿宋;CESI仿宋-GB13000" w:ascii="仿宋;CESI仿宋-GB13000" w:hAnsi="仿宋;CESI仿宋-GB13000"/>
                <w:sz w:val="28"/>
                <w:szCs w:val="28"/>
              </w:rPr>
              <w:t>INCI</w:t>
            </w:r>
            <w:r>
              <w:rPr>
                <w:rFonts w:ascii="仿宋;CESI仿宋-GB13000" w:hAnsi="仿宋;CESI仿宋-GB13000" w:cs="仿宋;CESI仿宋-GB13000" w:eastAsia="仿宋;CESI仿宋-GB13000"/>
                <w:sz w:val="28"/>
                <w:szCs w:val="28"/>
              </w:rPr>
              <w:t>名称与配方成分名称不一致的，应当予以说明。</w:t>
            </w:r>
          </w:p>
        </w:tc>
        <w:tc>
          <w:tcPr>
            <w:tcW w:w="2378"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520"/>
              <w:jc w:val="center"/>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t>□</w:t>
            </w:r>
            <w:r>
              <w:rPr>
                <w:rFonts w:ascii="仿宋_GB2312;方正仿宋_GBK" w:hAnsi="仿宋_GB2312;方正仿宋_GBK" w:cs="仿宋_GB2312;方正仿宋_GBK" w:eastAsia="仿宋_GB2312;方正仿宋_GBK"/>
                <w:sz w:val="28"/>
                <w:szCs w:val="28"/>
              </w:rPr>
              <w:t>符合 □不符合</w:t>
            </w:r>
          </w:p>
        </w:tc>
        <w:tc>
          <w:tcPr>
            <w:tcW w:w="85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360"/>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r>
          </w:p>
        </w:tc>
      </w:tr>
      <w:tr>
        <w:trPr>
          <w:trHeight w:val="150" w:hRule="atLeast"/>
        </w:trPr>
        <w:tc>
          <w:tcPr>
            <w:tcW w:w="79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Arial;DejaVu Sans" w:hAnsi="Arial;DejaVu Sans" w:eastAsia="方正仿宋_GB2312;方正仿宋_GBK" w:cs="仿宋_GB2312;方正仿宋_GBK"/>
                <w:sz w:val="28"/>
                <w:szCs w:val="28"/>
              </w:rPr>
            </w:pPr>
            <w:r>
              <w:rPr>
                <w:rFonts w:eastAsia="方正仿宋_GB2312;方正仿宋_GBK" w:cs="仿宋_GB2312;方正仿宋_GBK" w:ascii="Arial;DejaVu Sans" w:hAnsi="Arial;DejaVu Sans"/>
                <w:sz w:val="28"/>
                <w:szCs w:val="28"/>
              </w:rPr>
            </w:r>
          </w:p>
        </w:tc>
        <w:tc>
          <w:tcPr>
            <w:tcW w:w="223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Arial;DejaVu Sans" w:hAnsi="Arial;DejaVu Sans" w:eastAsia="方正仿宋_GB2312;方正仿宋_GBK" w:cs="仿宋_GB2312;方正仿宋_GBK"/>
                <w:sz w:val="28"/>
                <w:szCs w:val="28"/>
              </w:rPr>
            </w:pPr>
            <w:r>
              <w:rPr>
                <w:rFonts w:eastAsia="方正仿宋_GB2312;方正仿宋_GBK" w:cs="仿宋_GB2312;方正仿宋_GBK" w:ascii="Arial;DejaVu Sans" w:hAnsi="Arial;DejaVu Sans"/>
                <w:sz w:val="28"/>
                <w:szCs w:val="28"/>
              </w:rPr>
            </w:r>
          </w:p>
        </w:tc>
        <w:tc>
          <w:tcPr>
            <w:tcW w:w="15026" w:type="dxa"/>
            <w:tcBorders>
              <w:top w:val="single" w:sz="4" w:space="0" w:color="000000"/>
              <w:left w:val="single" w:sz="4" w:space="0" w:color="000000"/>
              <w:bottom w:val="single" w:sz="4" w:space="0" w:color="000000"/>
              <w:right w:val="single" w:sz="4" w:space="0" w:color="000000"/>
            </w:tcBorders>
          </w:tcPr>
          <w:p>
            <w:pPr>
              <w:pStyle w:val="ListParagraph"/>
              <w:overflowPunct w:val="false"/>
              <w:snapToGrid w:val="false"/>
              <w:spacing w:lineRule="exact" w:line="400"/>
              <w:ind w:hanging="0"/>
              <w:jc w:val="left"/>
              <w:rPr>
                <w:rFonts w:ascii="仿宋;CESI仿宋-GB13000" w:hAnsi="仿宋;CESI仿宋-GB13000" w:eastAsia="仿宋;CESI仿宋-GB13000" w:cs="仿宋;CESI仿宋-GB13000"/>
                <w:sz w:val="28"/>
                <w:szCs w:val="28"/>
              </w:rPr>
            </w:pPr>
            <w:r>
              <w:rPr>
                <w:rFonts w:eastAsia="仿宋;CESI仿宋-GB13000" w:cs="仿宋;CESI仿宋-GB13000" w:ascii="仿宋;CESI仿宋-GB13000" w:hAnsi="仿宋;CESI仿宋-GB13000"/>
                <w:sz w:val="28"/>
                <w:szCs w:val="28"/>
              </w:rPr>
              <w:t>2</w:t>
            </w:r>
            <w:r>
              <w:rPr>
                <w:rFonts w:eastAsia="仿宋;CESI仿宋-GB13000" w:cs="仿宋;CESI仿宋-GB13000" w:ascii="仿宋;CESI仿宋-GB13000" w:hAnsi="仿宋;CESI仿宋-GB13000"/>
                <w:sz w:val="28"/>
                <w:szCs w:val="28"/>
                <w:lang w:val="en-US" w:eastAsia="zh-CN"/>
              </w:rPr>
              <w:t>3</w:t>
            </w:r>
            <w:r>
              <w:rPr>
                <w:rFonts w:eastAsia="仿宋;CESI仿宋-GB13000" w:cs="仿宋;CESI仿宋-GB13000" w:ascii="仿宋;CESI仿宋-GB13000" w:hAnsi="仿宋;CESI仿宋-GB13000"/>
                <w:sz w:val="28"/>
                <w:szCs w:val="28"/>
              </w:rPr>
              <w:t>.</w:t>
            </w:r>
            <w:r>
              <w:rPr>
                <w:rFonts w:ascii="仿宋;CESI仿宋-GB13000" w:hAnsi="仿宋;CESI仿宋-GB13000" w:cs="仿宋;CESI仿宋-GB13000" w:eastAsia="仿宋;CESI仿宋-GB13000"/>
                <w:sz w:val="28"/>
                <w:szCs w:val="28"/>
              </w:rPr>
              <w:t>中文名称栏中标注了“</w:t>
            </w:r>
            <w:r>
              <w:rPr>
                <w:rFonts w:eastAsia="仿宋;CESI仿宋-GB13000" w:cs="仿宋;CESI仿宋-GB13000" w:ascii="仿宋;CESI仿宋-GB13000" w:hAnsi="仿宋;CESI仿宋-GB13000"/>
                <w:sz w:val="28"/>
                <w:szCs w:val="28"/>
              </w:rPr>
              <w:t>*”</w:t>
            </w:r>
            <w:r>
              <w:rPr>
                <w:rFonts w:ascii="仿宋;CESI仿宋-GB13000" w:hAnsi="仿宋;CESI仿宋-GB13000" w:cs="仿宋;CESI仿宋-GB13000" w:eastAsia="仿宋;CESI仿宋-GB13000"/>
                <w:sz w:val="28"/>
                <w:szCs w:val="28"/>
              </w:rPr>
              <w:t>或“</w:t>
            </w:r>
            <w:r>
              <w:rPr>
                <w:rFonts w:eastAsia="仿宋;CESI仿宋-GB13000" w:cs="仿宋;CESI仿宋-GB13000" w:ascii="仿宋;CESI仿宋-GB13000" w:hAnsi="仿宋;CESI仿宋-GB13000"/>
                <w:sz w:val="28"/>
                <w:szCs w:val="28"/>
              </w:rPr>
              <w:t>**”</w:t>
            </w:r>
            <w:r>
              <w:rPr>
                <w:rFonts w:ascii="仿宋;CESI仿宋-GB13000" w:hAnsi="仿宋;CESI仿宋-GB13000" w:cs="仿宋;CESI仿宋-GB13000" w:eastAsia="仿宋;CESI仿宋-GB13000"/>
                <w:sz w:val="28"/>
                <w:szCs w:val="28"/>
              </w:rPr>
              <w:t>等类别原料的，应注明其具体原料的名称。</w:t>
            </w:r>
          </w:p>
        </w:tc>
        <w:tc>
          <w:tcPr>
            <w:tcW w:w="2378"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520"/>
              <w:jc w:val="center"/>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t>□</w:t>
            </w:r>
            <w:r>
              <w:rPr>
                <w:rFonts w:ascii="仿宋_GB2312;方正仿宋_GBK" w:hAnsi="仿宋_GB2312;方正仿宋_GBK" w:cs="仿宋_GB2312;方正仿宋_GBK" w:eastAsia="仿宋_GB2312;方正仿宋_GBK"/>
                <w:sz w:val="28"/>
                <w:szCs w:val="28"/>
              </w:rPr>
              <w:t>符合 □不符合</w:t>
            </w:r>
          </w:p>
        </w:tc>
        <w:tc>
          <w:tcPr>
            <w:tcW w:w="85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360"/>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r>
          </w:p>
        </w:tc>
      </w:tr>
      <w:tr>
        <w:trPr>
          <w:trHeight w:val="127" w:hRule="atLeast"/>
        </w:trPr>
        <w:tc>
          <w:tcPr>
            <w:tcW w:w="79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Arial;DejaVu Sans" w:hAnsi="Arial;DejaVu Sans" w:eastAsia="方正仿宋_GB2312;方正仿宋_GBK" w:cs="仿宋_GB2312;方正仿宋_GBK"/>
                <w:sz w:val="28"/>
                <w:szCs w:val="28"/>
              </w:rPr>
            </w:pPr>
            <w:r>
              <w:rPr>
                <w:rFonts w:eastAsia="方正仿宋_GB2312;方正仿宋_GBK" w:cs="仿宋_GB2312;方正仿宋_GBK" w:ascii="Arial;DejaVu Sans" w:hAnsi="Arial;DejaVu Sans"/>
                <w:sz w:val="28"/>
                <w:szCs w:val="28"/>
              </w:rPr>
            </w:r>
          </w:p>
        </w:tc>
        <w:tc>
          <w:tcPr>
            <w:tcW w:w="223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Arial;DejaVu Sans" w:hAnsi="Arial;DejaVu Sans" w:eastAsia="方正仿宋_GB2312;方正仿宋_GBK" w:cs="仿宋_GB2312;方正仿宋_GBK"/>
                <w:sz w:val="28"/>
                <w:szCs w:val="28"/>
              </w:rPr>
            </w:pPr>
            <w:r>
              <w:rPr>
                <w:rFonts w:eastAsia="方正仿宋_GB2312;方正仿宋_GBK" w:cs="仿宋_GB2312;方正仿宋_GBK" w:ascii="Arial;DejaVu Sans" w:hAnsi="Arial;DejaVu Sans"/>
                <w:sz w:val="28"/>
                <w:szCs w:val="28"/>
              </w:rPr>
            </w:r>
          </w:p>
        </w:tc>
        <w:tc>
          <w:tcPr>
            <w:tcW w:w="15026" w:type="dxa"/>
            <w:tcBorders>
              <w:top w:val="single" w:sz="4" w:space="0" w:color="000000"/>
              <w:left w:val="single" w:sz="4" w:space="0" w:color="000000"/>
              <w:bottom w:val="single" w:sz="4" w:space="0" w:color="000000"/>
              <w:right w:val="single" w:sz="4" w:space="0" w:color="000000"/>
            </w:tcBorders>
          </w:tcPr>
          <w:p>
            <w:pPr>
              <w:pStyle w:val="ListParagraph"/>
              <w:overflowPunct w:val="false"/>
              <w:snapToGrid w:val="false"/>
              <w:spacing w:lineRule="exact" w:line="400"/>
              <w:ind w:hanging="0"/>
              <w:jc w:val="left"/>
              <w:rPr>
                <w:rFonts w:ascii="仿宋;CESI仿宋-GB13000" w:hAnsi="仿宋;CESI仿宋-GB13000" w:eastAsia="仿宋;CESI仿宋-GB13000" w:cs="仿宋;CESI仿宋-GB13000"/>
                <w:sz w:val="28"/>
                <w:szCs w:val="28"/>
              </w:rPr>
            </w:pPr>
            <w:r>
              <w:rPr>
                <w:rFonts w:eastAsia="仿宋;CESI仿宋-GB13000" w:cs="仿宋;CESI仿宋-GB13000" w:ascii="仿宋;CESI仿宋-GB13000" w:hAnsi="仿宋;CESI仿宋-GB13000"/>
                <w:sz w:val="28"/>
                <w:szCs w:val="28"/>
              </w:rPr>
              <w:t>2</w:t>
            </w:r>
            <w:r>
              <w:rPr>
                <w:rFonts w:eastAsia="仿宋;CESI仿宋-GB13000" w:cs="仿宋;CESI仿宋-GB13000" w:ascii="仿宋;CESI仿宋-GB13000" w:hAnsi="仿宋;CESI仿宋-GB13000"/>
                <w:sz w:val="28"/>
                <w:szCs w:val="28"/>
                <w:lang w:val="en-US" w:eastAsia="zh-CN"/>
              </w:rPr>
              <w:t>4</w:t>
            </w:r>
            <w:r>
              <w:rPr>
                <w:rFonts w:eastAsia="仿宋;CESI仿宋-GB13000" w:cs="仿宋;CESI仿宋-GB13000" w:ascii="仿宋;CESI仿宋-GB13000" w:hAnsi="仿宋;CESI仿宋-GB13000"/>
                <w:sz w:val="28"/>
                <w:szCs w:val="28"/>
              </w:rPr>
              <w:t>.</w:t>
            </w:r>
            <w:r>
              <w:rPr>
                <w:rFonts w:ascii="仿宋;CESI仿宋-GB13000" w:hAnsi="仿宋;CESI仿宋-GB13000" w:cs="仿宋;CESI仿宋-GB13000" w:eastAsia="仿宋;CESI仿宋-GB13000"/>
                <w:sz w:val="28"/>
                <w:szCs w:val="28"/>
              </w:rPr>
              <w:t>宣称原料来自特殊产地的，提供来源于相关产地的证明文件。</w:t>
            </w:r>
          </w:p>
        </w:tc>
        <w:tc>
          <w:tcPr>
            <w:tcW w:w="2378"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520"/>
              <w:jc w:val="center"/>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t>□</w:t>
            </w:r>
            <w:r>
              <w:rPr>
                <w:rFonts w:ascii="仿宋_GB2312;方正仿宋_GBK" w:hAnsi="仿宋_GB2312;方正仿宋_GBK" w:cs="仿宋_GB2312;方正仿宋_GBK" w:eastAsia="仿宋_GB2312;方正仿宋_GBK"/>
                <w:sz w:val="28"/>
                <w:szCs w:val="28"/>
              </w:rPr>
              <w:t>符合 □不符合</w:t>
            </w:r>
          </w:p>
        </w:tc>
        <w:tc>
          <w:tcPr>
            <w:tcW w:w="85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360"/>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r>
          </w:p>
        </w:tc>
      </w:tr>
      <w:tr>
        <w:trPr>
          <w:trHeight w:val="554" w:hRule="atLeast"/>
        </w:trPr>
        <w:tc>
          <w:tcPr>
            <w:tcW w:w="79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Arial;DejaVu Sans" w:hAnsi="Arial;DejaVu Sans" w:eastAsia="方正仿宋_GB2312;方正仿宋_GBK" w:cs="仿宋_GB2312;方正仿宋_GBK"/>
                <w:sz w:val="28"/>
                <w:szCs w:val="28"/>
              </w:rPr>
            </w:pPr>
            <w:r>
              <w:rPr>
                <w:rFonts w:eastAsia="方正仿宋_GB2312;方正仿宋_GBK" w:cs="仿宋_GB2312;方正仿宋_GBK" w:ascii="Arial;DejaVu Sans" w:hAnsi="Arial;DejaVu Sans"/>
                <w:sz w:val="28"/>
                <w:szCs w:val="28"/>
              </w:rPr>
            </w:r>
          </w:p>
        </w:tc>
        <w:tc>
          <w:tcPr>
            <w:tcW w:w="223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Arial;DejaVu Sans" w:hAnsi="Arial;DejaVu Sans" w:eastAsia="方正仿宋_GB2312;方正仿宋_GBK" w:cs="仿宋_GB2312;方正仿宋_GBK"/>
                <w:sz w:val="28"/>
                <w:szCs w:val="28"/>
              </w:rPr>
            </w:pPr>
            <w:r>
              <w:rPr>
                <w:rFonts w:eastAsia="方正仿宋_GB2312;方正仿宋_GBK" w:cs="仿宋_GB2312;方正仿宋_GBK" w:ascii="Arial;DejaVu Sans" w:hAnsi="Arial;DejaVu Sans"/>
                <w:sz w:val="28"/>
                <w:szCs w:val="28"/>
              </w:rPr>
            </w:r>
          </w:p>
        </w:tc>
        <w:tc>
          <w:tcPr>
            <w:tcW w:w="15026" w:type="dxa"/>
            <w:tcBorders>
              <w:top w:val="single" w:sz="4" w:space="0" w:color="000000"/>
              <w:left w:val="single" w:sz="4" w:space="0" w:color="000000"/>
              <w:bottom w:val="single" w:sz="4" w:space="0" w:color="000000"/>
              <w:right w:val="single" w:sz="4" w:space="0" w:color="000000"/>
            </w:tcBorders>
          </w:tcPr>
          <w:p>
            <w:pPr>
              <w:pStyle w:val="ListParagraph"/>
              <w:overflowPunct w:val="false"/>
              <w:snapToGrid w:val="false"/>
              <w:spacing w:lineRule="exact" w:line="400"/>
              <w:ind w:hanging="0"/>
              <w:jc w:val="left"/>
              <w:rPr>
                <w:rFonts w:ascii="仿宋;CESI仿宋-GB13000" w:hAnsi="仿宋;CESI仿宋-GB13000" w:eastAsia="仿宋;CESI仿宋-GB13000" w:cs="仿宋;CESI仿宋-GB13000"/>
                <w:sz w:val="28"/>
                <w:szCs w:val="28"/>
                <w:lang w:val="en-US" w:eastAsia="zh-CN"/>
              </w:rPr>
            </w:pPr>
            <w:r>
              <w:rPr>
                <w:rFonts w:eastAsia="仿宋;CESI仿宋-GB13000" w:cs="仿宋;CESI仿宋-GB13000" w:ascii="仿宋;CESI仿宋-GB13000" w:hAnsi="仿宋;CESI仿宋-GB13000"/>
                <w:sz w:val="28"/>
                <w:szCs w:val="28"/>
                <w:lang w:val="en-US" w:eastAsia="zh-CN"/>
              </w:rPr>
              <w:t>25.</w:t>
            </w:r>
            <w:r>
              <w:rPr>
                <w:rFonts w:ascii="仿宋;CESI仿宋-GB13000" w:hAnsi="仿宋;CESI仿宋-GB13000" w:cs="仿宋;CESI仿宋-GB13000" w:eastAsia="仿宋;CESI仿宋-GB13000"/>
                <w:sz w:val="28"/>
                <w:szCs w:val="28"/>
                <w:lang w:val="en-US" w:eastAsia="zh-CN"/>
              </w:rPr>
              <w:t>包含两个或者两个以上必须配合使用或者包装容器不可拆分的独立配方的化妆品，应当分别填写配方，按一个产品申请注册或者办理备案。其中一个（剂）或者多个（剂）产品在境外生产的，应当按照进口化妆品办理备案。</w:t>
            </w:r>
          </w:p>
        </w:tc>
        <w:tc>
          <w:tcPr>
            <w:tcW w:w="2378"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520"/>
              <w:jc w:val="center"/>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t>□</w:t>
            </w:r>
            <w:r>
              <w:rPr>
                <w:rFonts w:ascii="仿宋_GB2312;方正仿宋_GBK" w:hAnsi="仿宋_GB2312;方正仿宋_GBK" w:cs="仿宋_GB2312;方正仿宋_GBK" w:eastAsia="仿宋_GB2312;方正仿宋_GBK"/>
                <w:sz w:val="28"/>
                <w:szCs w:val="28"/>
              </w:rPr>
              <w:t>符合 □不符合</w:t>
            </w:r>
          </w:p>
        </w:tc>
        <w:tc>
          <w:tcPr>
            <w:tcW w:w="85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360"/>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r>
          </w:p>
        </w:tc>
      </w:tr>
      <w:tr>
        <w:trPr/>
        <w:tc>
          <w:tcPr>
            <w:tcW w:w="79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exact" w:line="360"/>
              <w:jc w:val="center"/>
              <w:rPr>
                <w:rFonts w:ascii="Arial;DejaVu Sans" w:hAnsi="Arial;DejaVu Sans" w:eastAsia="方正仿宋_GB2312;方正仿宋_GBK" w:cs="仿宋_GB2312;方正仿宋_GBK"/>
                <w:sz w:val="28"/>
                <w:szCs w:val="28"/>
              </w:rPr>
            </w:pPr>
            <w:r>
              <w:rPr>
                <w:rFonts w:eastAsia="方正仿宋_GB2312;方正仿宋_GBK" w:cs="仿宋_GB2312;方正仿宋_GBK" w:ascii="Arial;DejaVu Sans" w:hAnsi="Arial;DejaVu Sans"/>
                <w:sz w:val="28"/>
                <w:szCs w:val="28"/>
                <w:lang w:val="en-US" w:eastAsia="zh-CN"/>
              </w:rPr>
              <w:t>4</w:t>
            </w:r>
          </w:p>
        </w:tc>
        <w:tc>
          <w:tcPr>
            <w:tcW w:w="223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exact" w:line="360"/>
              <w:jc w:val="center"/>
              <w:rPr>
                <w:rFonts w:ascii="Arial;DejaVu Sans" w:hAnsi="Arial;DejaVu Sans" w:eastAsia="方正仿宋_GB2312;方正仿宋_GBK" w:cs="仿宋_GB2312;方正仿宋_GBK"/>
                <w:sz w:val="28"/>
                <w:szCs w:val="28"/>
              </w:rPr>
            </w:pPr>
            <w:r>
              <w:rPr>
                <w:rFonts w:ascii="Arial;DejaVu Sans" w:hAnsi="Arial;DejaVu Sans" w:cs="仿宋_GB2312;方正仿宋_GBK" w:eastAsia="方正仿宋_GB2312;方正仿宋_GBK"/>
                <w:sz w:val="28"/>
                <w:szCs w:val="28"/>
              </w:rPr>
              <w:t>【产品执行的标准】</w:t>
            </w:r>
          </w:p>
        </w:tc>
        <w:tc>
          <w:tcPr>
            <w:tcW w:w="15026" w:type="dxa"/>
            <w:tcBorders>
              <w:top w:val="single" w:sz="4" w:space="0" w:color="000000"/>
              <w:left w:val="single" w:sz="4" w:space="0" w:color="000000"/>
              <w:bottom w:val="single" w:sz="4" w:space="0" w:color="000000"/>
              <w:right w:val="single" w:sz="4" w:space="0" w:color="000000"/>
            </w:tcBorders>
            <w:vAlign w:val="center"/>
          </w:tcPr>
          <w:p>
            <w:pPr>
              <w:pStyle w:val="ListParagraph"/>
              <w:overflowPunct w:val="false"/>
              <w:snapToGrid w:val="false"/>
              <w:spacing w:lineRule="exact" w:line="400"/>
              <w:ind w:hanging="0"/>
              <w:jc w:val="left"/>
              <w:rPr>
                <w:rFonts w:ascii="仿宋;CESI仿宋-GB13000" w:hAnsi="仿宋;CESI仿宋-GB13000" w:eastAsia="仿宋;CESI仿宋-GB13000" w:cs="仿宋;CESI仿宋-GB13000"/>
                <w:sz w:val="28"/>
                <w:szCs w:val="28"/>
              </w:rPr>
            </w:pPr>
            <w:r>
              <w:rPr>
                <w:rFonts w:eastAsia="仿宋;CESI仿宋-GB13000" w:cs="仿宋;CESI仿宋-GB13000" w:ascii="仿宋;CESI仿宋-GB13000" w:hAnsi="仿宋;CESI仿宋-GB13000"/>
                <w:sz w:val="28"/>
                <w:szCs w:val="28"/>
              </w:rPr>
              <w:t>1.</w:t>
            </w:r>
            <w:r>
              <w:rPr>
                <w:rFonts w:ascii="仿宋;CESI仿宋-GB13000" w:hAnsi="仿宋;CESI仿宋-GB13000" w:cs="仿宋;CESI仿宋-GB13000" w:eastAsia="仿宋;CESI仿宋-GB13000"/>
                <w:sz w:val="28"/>
                <w:szCs w:val="28"/>
              </w:rPr>
              <w:t>全部原料应当在生产步骤中明确列出，所用原料名称或者序号应当与产品配方中所列原料一致；若同一原料在不同步骤阶段中使用，应当予以区分；若生产过程中需使用但在后续生产步骤中去除的水、挥发性溶剂等助剂，应当予以注明。若同一原料在不同步骤阶段中使用，应当予以区分，如：“部分”、“部分”“剩余部分”。</w:t>
            </w:r>
          </w:p>
        </w:tc>
        <w:tc>
          <w:tcPr>
            <w:tcW w:w="2378"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520"/>
              <w:jc w:val="center"/>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t>□</w:t>
            </w:r>
            <w:r>
              <w:rPr>
                <w:rFonts w:ascii="仿宋_GB2312;方正仿宋_GBK" w:hAnsi="仿宋_GB2312;方正仿宋_GBK" w:cs="仿宋_GB2312;方正仿宋_GBK" w:eastAsia="仿宋_GB2312;方正仿宋_GBK"/>
                <w:sz w:val="28"/>
                <w:szCs w:val="28"/>
              </w:rPr>
              <w:t>符合 □不符合</w:t>
            </w:r>
          </w:p>
        </w:tc>
        <w:tc>
          <w:tcPr>
            <w:tcW w:w="85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360"/>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r>
          </w:p>
        </w:tc>
      </w:tr>
      <w:tr>
        <w:trPr/>
        <w:tc>
          <w:tcPr>
            <w:tcW w:w="79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Arial;DejaVu Sans" w:hAnsi="Arial;DejaVu Sans" w:eastAsia="方正仿宋_GB2312;方正仿宋_GBK" w:cs="仿宋_GB2312;方正仿宋_GBK"/>
                <w:sz w:val="28"/>
                <w:szCs w:val="28"/>
              </w:rPr>
            </w:pPr>
            <w:r>
              <w:rPr>
                <w:rFonts w:eastAsia="方正仿宋_GB2312;方正仿宋_GBK" w:cs="仿宋_GB2312;方正仿宋_GBK" w:ascii="Arial;DejaVu Sans" w:hAnsi="Arial;DejaVu Sans"/>
                <w:sz w:val="28"/>
                <w:szCs w:val="28"/>
              </w:rPr>
            </w:r>
          </w:p>
        </w:tc>
        <w:tc>
          <w:tcPr>
            <w:tcW w:w="223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Arial;DejaVu Sans" w:hAnsi="Arial;DejaVu Sans" w:eastAsia="方正仿宋_GB2312;方正仿宋_GBK" w:cs="仿宋_GB2312;方正仿宋_GBK"/>
                <w:sz w:val="28"/>
                <w:szCs w:val="28"/>
              </w:rPr>
            </w:pPr>
            <w:r>
              <w:rPr>
                <w:rFonts w:eastAsia="方正仿宋_GB2312;方正仿宋_GBK" w:cs="仿宋_GB2312;方正仿宋_GBK" w:ascii="Arial;DejaVu Sans" w:hAnsi="Arial;DejaVu Sans"/>
                <w:sz w:val="28"/>
                <w:szCs w:val="28"/>
              </w:rPr>
            </w:r>
          </w:p>
        </w:tc>
        <w:tc>
          <w:tcPr>
            <w:tcW w:w="15026" w:type="dxa"/>
            <w:tcBorders>
              <w:top w:val="single" w:sz="4" w:space="0" w:color="000000"/>
              <w:left w:val="single" w:sz="4" w:space="0" w:color="000000"/>
              <w:bottom w:val="single" w:sz="4" w:space="0" w:color="000000"/>
              <w:right w:val="single" w:sz="4" w:space="0" w:color="000000"/>
            </w:tcBorders>
          </w:tcPr>
          <w:p>
            <w:pPr>
              <w:pStyle w:val="ListParagraph"/>
              <w:overflowPunct w:val="false"/>
              <w:spacing w:lineRule="exact" w:line="400"/>
              <w:ind w:hanging="0"/>
              <w:jc w:val="left"/>
              <w:rPr>
                <w:rFonts w:ascii="仿宋;CESI仿宋-GB13000" w:hAnsi="仿宋;CESI仿宋-GB13000" w:eastAsia="仿宋;CESI仿宋-GB13000" w:cs="仿宋;CESI仿宋-GB13000"/>
                <w:sz w:val="28"/>
                <w:szCs w:val="28"/>
              </w:rPr>
            </w:pPr>
            <w:r>
              <w:rPr>
                <w:rFonts w:eastAsia="仿宋;CESI仿宋-GB13000" w:cs="仿宋;CESI仿宋-GB13000" w:ascii="仿宋;CESI仿宋-GB13000" w:hAnsi="仿宋;CESI仿宋-GB13000"/>
                <w:sz w:val="28"/>
                <w:szCs w:val="28"/>
              </w:rPr>
              <w:t>2.</w:t>
            </w:r>
            <w:r>
              <w:rPr>
                <w:rFonts w:ascii="仿宋;CESI仿宋-GB13000" w:hAnsi="仿宋;CESI仿宋-GB13000" w:cs="仿宋;CESI仿宋-GB13000" w:eastAsia="仿宋;CESI仿宋-GB13000"/>
                <w:sz w:val="28"/>
                <w:szCs w:val="28"/>
              </w:rPr>
              <w:t>生产工艺表述中可以使用配方的原料序号代表原料名称，也可以将原料分组，使用分组表述的应当明确各组的具体原料序号或名称。</w:t>
            </w:r>
          </w:p>
        </w:tc>
        <w:tc>
          <w:tcPr>
            <w:tcW w:w="2378"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520"/>
              <w:jc w:val="center"/>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t>□</w:t>
            </w:r>
            <w:r>
              <w:rPr>
                <w:rFonts w:ascii="仿宋_GB2312;方正仿宋_GBK" w:hAnsi="仿宋_GB2312;方正仿宋_GBK" w:cs="仿宋_GB2312;方正仿宋_GBK" w:eastAsia="仿宋_GB2312;方正仿宋_GBK"/>
                <w:sz w:val="28"/>
                <w:szCs w:val="28"/>
              </w:rPr>
              <w:t>符合 □不符合</w:t>
            </w:r>
          </w:p>
        </w:tc>
        <w:tc>
          <w:tcPr>
            <w:tcW w:w="85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360"/>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r>
          </w:p>
        </w:tc>
      </w:tr>
      <w:tr>
        <w:trPr>
          <w:trHeight w:val="463" w:hRule="atLeast"/>
        </w:trPr>
        <w:tc>
          <w:tcPr>
            <w:tcW w:w="79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Arial;DejaVu Sans" w:hAnsi="Arial;DejaVu Sans" w:eastAsia="方正仿宋_GB2312;方正仿宋_GBK" w:cs="仿宋_GB2312;方正仿宋_GBK"/>
                <w:sz w:val="28"/>
                <w:szCs w:val="28"/>
              </w:rPr>
            </w:pPr>
            <w:r>
              <w:rPr>
                <w:rFonts w:eastAsia="方正仿宋_GB2312;方正仿宋_GBK" w:cs="仿宋_GB2312;方正仿宋_GBK" w:ascii="Arial;DejaVu Sans" w:hAnsi="Arial;DejaVu Sans"/>
                <w:sz w:val="28"/>
                <w:szCs w:val="28"/>
              </w:rPr>
            </w:r>
          </w:p>
        </w:tc>
        <w:tc>
          <w:tcPr>
            <w:tcW w:w="223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Arial;DejaVu Sans" w:hAnsi="Arial;DejaVu Sans" w:eastAsia="方正仿宋_GB2312;方正仿宋_GBK" w:cs="仿宋_GB2312;方正仿宋_GBK"/>
                <w:sz w:val="28"/>
                <w:szCs w:val="28"/>
              </w:rPr>
            </w:pPr>
            <w:r>
              <w:rPr>
                <w:rFonts w:eastAsia="方正仿宋_GB2312;方正仿宋_GBK" w:cs="仿宋_GB2312;方正仿宋_GBK" w:ascii="Arial;DejaVu Sans" w:hAnsi="Arial;DejaVu Sans"/>
                <w:sz w:val="28"/>
                <w:szCs w:val="28"/>
              </w:rPr>
            </w:r>
          </w:p>
        </w:tc>
        <w:tc>
          <w:tcPr>
            <w:tcW w:w="15026" w:type="dxa"/>
            <w:tcBorders>
              <w:top w:val="single" w:sz="4" w:space="0" w:color="000000"/>
              <w:left w:val="single" w:sz="4" w:space="0" w:color="000000"/>
              <w:bottom w:val="single" w:sz="4" w:space="0" w:color="000000"/>
              <w:right w:val="single" w:sz="4" w:space="0" w:color="000000"/>
            </w:tcBorders>
          </w:tcPr>
          <w:p>
            <w:pPr>
              <w:pStyle w:val="ListParagraph"/>
              <w:overflowPunct w:val="false"/>
              <w:snapToGrid w:val="false"/>
              <w:spacing w:lineRule="exact" w:line="400"/>
              <w:ind w:hanging="0"/>
              <w:jc w:val="left"/>
              <w:rPr>
                <w:rFonts w:ascii="仿宋;CESI仿宋-GB13000" w:hAnsi="仿宋;CESI仿宋-GB13000" w:eastAsia="仿宋;CESI仿宋-GB13000" w:cs="仿宋;CESI仿宋-GB13000"/>
                <w:sz w:val="28"/>
                <w:szCs w:val="28"/>
              </w:rPr>
            </w:pPr>
            <w:r>
              <w:rPr>
                <w:rFonts w:eastAsia="仿宋;CESI仿宋-GB13000" w:cs="仿宋;CESI仿宋-GB13000" w:ascii="仿宋;CESI仿宋-GB13000" w:hAnsi="仿宋;CESI仿宋-GB13000"/>
                <w:sz w:val="28"/>
                <w:szCs w:val="28"/>
              </w:rPr>
              <w:t>3.</w:t>
            </w:r>
            <w:r>
              <w:rPr>
                <w:rFonts w:ascii="仿宋;CESI仿宋-GB13000" w:hAnsi="仿宋;CESI仿宋-GB13000" w:cs="仿宋;CESI仿宋-GB13000" w:eastAsia="仿宋;CESI仿宋-GB13000"/>
                <w:sz w:val="28"/>
                <w:szCs w:val="28"/>
              </w:rPr>
              <w:t>配方表</w:t>
            </w:r>
            <w:r>
              <w:rPr>
                <w:rFonts w:eastAsia="仿宋;CESI仿宋-GB13000" w:cs="仿宋;CESI仿宋-GB13000" w:ascii="仿宋;CESI仿宋-GB13000" w:hAnsi="仿宋;CESI仿宋-GB13000"/>
                <w:sz w:val="28"/>
                <w:szCs w:val="28"/>
              </w:rPr>
              <w:t>2</w:t>
            </w:r>
            <w:r>
              <w:rPr>
                <w:rFonts w:ascii="仿宋;CESI仿宋-GB13000" w:hAnsi="仿宋;CESI仿宋-GB13000" w:cs="仿宋;CESI仿宋-GB13000" w:eastAsia="仿宋;CESI仿宋-GB13000"/>
                <w:sz w:val="28"/>
                <w:szCs w:val="28"/>
              </w:rPr>
              <w:t>个以上原料的预混合、灌装等生产步骤在不同生产企业配合完成的，应当予以注明。</w:t>
            </w:r>
          </w:p>
        </w:tc>
        <w:tc>
          <w:tcPr>
            <w:tcW w:w="2378"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520"/>
              <w:jc w:val="center"/>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t>□</w:t>
            </w:r>
            <w:r>
              <w:rPr>
                <w:rFonts w:ascii="仿宋_GB2312;方正仿宋_GBK" w:hAnsi="仿宋_GB2312;方正仿宋_GBK" w:cs="仿宋_GB2312;方正仿宋_GBK" w:eastAsia="仿宋_GB2312;方正仿宋_GBK"/>
                <w:sz w:val="28"/>
                <w:szCs w:val="28"/>
              </w:rPr>
              <w:t>符合 □不符合</w:t>
            </w:r>
          </w:p>
        </w:tc>
        <w:tc>
          <w:tcPr>
            <w:tcW w:w="85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360"/>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r>
          </w:p>
        </w:tc>
      </w:tr>
      <w:tr>
        <w:trPr>
          <w:trHeight w:val="880" w:hRule="atLeast"/>
        </w:trPr>
        <w:tc>
          <w:tcPr>
            <w:tcW w:w="79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Arial;DejaVu Sans" w:hAnsi="Arial;DejaVu Sans" w:eastAsia="方正仿宋_GB2312;方正仿宋_GBK" w:cs="仿宋_GB2312;方正仿宋_GBK"/>
                <w:sz w:val="28"/>
                <w:szCs w:val="28"/>
              </w:rPr>
            </w:pPr>
            <w:r>
              <w:rPr>
                <w:rFonts w:eastAsia="方正仿宋_GB2312;方正仿宋_GBK" w:cs="仿宋_GB2312;方正仿宋_GBK" w:ascii="Arial;DejaVu Sans" w:hAnsi="Arial;DejaVu Sans"/>
                <w:sz w:val="28"/>
                <w:szCs w:val="28"/>
              </w:rPr>
            </w:r>
          </w:p>
        </w:tc>
        <w:tc>
          <w:tcPr>
            <w:tcW w:w="223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Arial;DejaVu Sans" w:hAnsi="Arial;DejaVu Sans" w:eastAsia="方正仿宋_GB2312;方正仿宋_GBK" w:cs="仿宋_GB2312;方正仿宋_GBK"/>
                <w:sz w:val="28"/>
                <w:szCs w:val="28"/>
              </w:rPr>
            </w:pPr>
            <w:r>
              <w:rPr>
                <w:rFonts w:eastAsia="方正仿宋_GB2312;方正仿宋_GBK" w:cs="仿宋_GB2312;方正仿宋_GBK" w:ascii="Arial;DejaVu Sans" w:hAnsi="Arial;DejaVu Sans"/>
                <w:sz w:val="28"/>
                <w:szCs w:val="28"/>
              </w:rPr>
            </w:r>
          </w:p>
        </w:tc>
        <w:tc>
          <w:tcPr>
            <w:tcW w:w="15026" w:type="dxa"/>
            <w:tcBorders>
              <w:top w:val="single" w:sz="4" w:space="0" w:color="000000"/>
              <w:left w:val="single" w:sz="4" w:space="0" w:color="000000"/>
              <w:bottom w:val="single" w:sz="4" w:space="0" w:color="000000"/>
              <w:right w:val="single" w:sz="4" w:space="0" w:color="000000"/>
            </w:tcBorders>
          </w:tcPr>
          <w:p>
            <w:pPr>
              <w:pStyle w:val="ListParagraph"/>
              <w:overflowPunct w:val="false"/>
              <w:snapToGrid w:val="false"/>
              <w:spacing w:lineRule="exact" w:line="400"/>
              <w:ind w:hanging="0"/>
              <w:jc w:val="left"/>
              <w:rPr>
                <w:rFonts w:ascii="仿宋;CESI仿宋-GB13000" w:hAnsi="仿宋;CESI仿宋-GB13000" w:eastAsia="仿宋;CESI仿宋-GB13000" w:cs="仿宋;CESI仿宋-GB13000"/>
                <w:sz w:val="28"/>
                <w:szCs w:val="28"/>
              </w:rPr>
            </w:pPr>
            <w:r>
              <w:rPr>
                <w:rFonts w:eastAsia="仿宋;CESI仿宋-GB13000" w:cs="仿宋;CESI仿宋-GB13000" w:ascii="仿宋;CESI仿宋-GB13000" w:hAnsi="仿宋;CESI仿宋-GB13000"/>
                <w:sz w:val="28"/>
                <w:szCs w:val="28"/>
              </w:rPr>
              <w:t>4.</w:t>
            </w:r>
            <w:r>
              <w:rPr>
                <w:rFonts w:ascii="仿宋;CESI仿宋-GB13000" w:hAnsi="仿宋;CESI仿宋-GB13000" w:cs="仿宋;CESI仿宋-GB13000" w:eastAsia="仿宋;CESI仿宋-GB13000"/>
                <w:sz w:val="28"/>
                <w:szCs w:val="28"/>
              </w:rPr>
              <w:t>颜色是指产品内容物的客观色泽。同一产品具有可区分的多种颜色，应当逐一描述；难以区分颜色的，可描述产品目视呈现或者使用时的主要色泽，也可描述颜色范围。性状是指产品内容物的形态。气味是指产品内容物是否有气味。</w:t>
            </w:r>
          </w:p>
        </w:tc>
        <w:tc>
          <w:tcPr>
            <w:tcW w:w="2378"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520"/>
              <w:jc w:val="center"/>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t>□</w:t>
            </w:r>
            <w:r>
              <w:rPr>
                <w:rFonts w:ascii="仿宋_GB2312;方正仿宋_GBK" w:hAnsi="仿宋_GB2312;方正仿宋_GBK" w:cs="仿宋_GB2312;方正仿宋_GBK" w:eastAsia="仿宋_GB2312;方正仿宋_GBK"/>
                <w:sz w:val="28"/>
                <w:szCs w:val="28"/>
              </w:rPr>
              <w:t>符合 □不符合</w:t>
            </w:r>
          </w:p>
        </w:tc>
        <w:tc>
          <w:tcPr>
            <w:tcW w:w="85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360"/>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r>
          </w:p>
        </w:tc>
      </w:tr>
      <w:tr>
        <w:trPr>
          <w:trHeight w:val="584" w:hRule="atLeast"/>
        </w:trPr>
        <w:tc>
          <w:tcPr>
            <w:tcW w:w="79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Arial;DejaVu Sans" w:hAnsi="Arial;DejaVu Sans" w:eastAsia="方正仿宋_GB2312;方正仿宋_GBK" w:cs="仿宋_GB2312;方正仿宋_GBK"/>
                <w:sz w:val="28"/>
                <w:szCs w:val="28"/>
              </w:rPr>
            </w:pPr>
            <w:r>
              <w:rPr>
                <w:rFonts w:eastAsia="方正仿宋_GB2312;方正仿宋_GBK" w:cs="仿宋_GB2312;方正仿宋_GBK" w:ascii="Arial;DejaVu Sans" w:hAnsi="Arial;DejaVu Sans"/>
                <w:sz w:val="28"/>
                <w:szCs w:val="28"/>
              </w:rPr>
            </w:r>
          </w:p>
        </w:tc>
        <w:tc>
          <w:tcPr>
            <w:tcW w:w="223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Arial;DejaVu Sans" w:hAnsi="Arial;DejaVu Sans" w:eastAsia="方正仿宋_GB2312;方正仿宋_GBK" w:cs="仿宋_GB2312;方正仿宋_GBK"/>
                <w:sz w:val="28"/>
                <w:szCs w:val="28"/>
              </w:rPr>
            </w:pPr>
            <w:r>
              <w:rPr>
                <w:rFonts w:eastAsia="方正仿宋_GB2312;方正仿宋_GBK" w:cs="仿宋_GB2312;方正仿宋_GBK" w:ascii="Arial;DejaVu Sans" w:hAnsi="Arial;DejaVu Sans"/>
                <w:sz w:val="28"/>
                <w:szCs w:val="28"/>
              </w:rPr>
            </w:r>
          </w:p>
        </w:tc>
        <w:tc>
          <w:tcPr>
            <w:tcW w:w="15026" w:type="dxa"/>
            <w:tcBorders>
              <w:top w:val="single" w:sz="4" w:space="0" w:color="000000"/>
              <w:left w:val="single" w:sz="4" w:space="0" w:color="000000"/>
              <w:bottom w:val="single" w:sz="4" w:space="0" w:color="000000"/>
              <w:right w:val="single" w:sz="4" w:space="0" w:color="000000"/>
            </w:tcBorders>
          </w:tcPr>
          <w:p>
            <w:pPr>
              <w:pStyle w:val="ListParagraph"/>
              <w:overflowPunct w:val="false"/>
              <w:snapToGrid w:val="false"/>
              <w:spacing w:lineRule="exact" w:line="400"/>
              <w:ind w:hanging="0"/>
              <w:jc w:val="left"/>
              <w:rPr>
                <w:rFonts w:ascii="仿宋;CESI仿宋-GB13000" w:hAnsi="仿宋;CESI仿宋-GB13000" w:eastAsia="仿宋;CESI仿宋-GB13000" w:cs="仿宋;CESI仿宋-GB13000"/>
                <w:sz w:val="28"/>
                <w:szCs w:val="28"/>
              </w:rPr>
            </w:pPr>
            <w:r>
              <w:rPr>
                <w:rFonts w:eastAsia="仿宋;CESI仿宋-GB13000" w:cs="仿宋;CESI仿宋-GB13000" w:ascii="仿宋;CESI仿宋-GB13000" w:hAnsi="仿宋;CESI仿宋-GB13000"/>
                <w:sz w:val="28"/>
                <w:szCs w:val="28"/>
              </w:rPr>
              <w:t>5.</w:t>
            </w:r>
            <w:r>
              <w:rPr>
                <w:rFonts w:ascii="仿宋;CESI仿宋-GB13000" w:hAnsi="仿宋;CESI仿宋-GB13000" w:cs="仿宋;CESI仿宋-GB13000" w:eastAsia="仿宋;CESI仿宋-GB13000"/>
                <w:sz w:val="28"/>
                <w:szCs w:val="28"/>
              </w:rPr>
              <w:t>采用检验方式作为质量控制措施的，应当注明检验频次，所用方法与《化妆品安全技术规范》所载方法完全一致的，应当填写《化妆品安全技术规范》的检验方法名称；与《化妆品安全技术规范》所载方法不一致的，应当填写检验方法名称，说明该方法是否对《化妆品安全技术规范》所载方法开展过验证，完整的检验方法和方法验证资料留档备查。</w:t>
            </w:r>
          </w:p>
        </w:tc>
        <w:tc>
          <w:tcPr>
            <w:tcW w:w="2378"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520"/>
              <w:jc w:val="center"/>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t>□</w:t>
            </w:r>
            <w:r>
              <w:rPr>
                <w:rFonts w:ascii="仿宋_GB2312;方正仿宋_GBK" w:hAnsi="仿宋_GB2312;方正仿宋_GBK" w:cs="仿宋_GB2312;方正仿宋_GBK" w:eastAsia="仿宋_GB2312;方正仿宋_GBK"/>
                <w:sz w:val="28"/>
                <w:szCs w:val="28"/>
              </w:rPr>
              <w:t>符合 □不符合</w:t>
            </w:r>
          </w:p>
        </w:tc>
        <w:tc>
          <w:tcPr>
            <w:tcW w:w="85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360"/>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r>
          </w:p>
        </w:tc>
      </w:tr>
      <w:tr>
        <w:trPr>
          <w:trHeight w:val="354" w:hRule="atLeast"/>
        </w:trPr>
        <w:tc>
          <w:tcPr>
            <w:tcW w:w="79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Arial;DejaVu Sans" w:hAnsi="Arial;DejaVu Sans" w:eastAsia="方正仿宋_GB2312;方正仿宋_GBK" w:cs="仿宋_GB2312;方正仿宋_GBK"/>
                <w:sz w:val="28"/>
                <w:szCs w:val="28"/>
              </w:rPr>
            </w:pPr>
            <w:r>
              <w:rPr>
                <w:rFonts w:eastAsia="方正仿宋_GB2312;方正仿宋_GBK" w:cs="仿宋_GB2312;方正仿宋_GBK" w:ascii="Arial;DejaVu Sans" w:hAnsi="Arial;DejaVu Sans"/>
                <w:sz w:val="28"/>
                <w:szCs w:val="28"/>
              </w:rPr>
            </w:r>
          </w:p>
        </w:tc>
        <w:tc>
          <w:tcPr>
            <w:tcW w:w="223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Arial;DejaVu Sans" w:hAnsi="Arial;DejaVu Sans" w:eastAsia="方正仿宋_GB2312;方正仿宋_GBK" w:cs="仿宋_GB2312;方正仿宋_GBK"/>
                <w:sz w:val="28"/>
                <w:szCs w:val="28"/>
              </w:rPr>
            </w:pPr>
            <w:r>
              <w:rPr>
                <w:rFonts w:eastAsia="方正仿宋_GB2312;方正仿宋_GBK" w:cs="仿宋_GB2312;方正仿宋_GBK" w:ascii="Arial;DejaVu Sans" w:hAnsi="Arial;DejaVu Sans"/>
                <w:sz w:val="28"/>
                <w:szCs w:val="28"/>
              </w:rPr>
            </w:r>
          </w:p>
        </w:tc>
        <w:tc>
          <w:tcPr>
            <w:tcW w:w="15026" w:type="dxa"/>
            <w:tcBorders>
              <w:top w:val="single" w:sz="4" w:space="0" w:color="000000"/>
              <w:left w:val="single" w:sz="4" w:space="0" w:color="000000"/>
              <w:bottom w:val="single" w:sz="4" w:space="0" w:color="000000"/>
              <w:right w:val="single" w:sz="4" w:space="0" w:color="000000"/>
            </w:tcBorders>
          </w:tcPr>
          <w:p>
            <w:pPr>
              <w:pStyle w:val="ListParagraph"/>
              <w:overflowPunct w:val="false"/>
              <w:snapToGrid w:val="false"/>
              <w:spacing w:lineRule="exact" w:line="400"/>
              <w:ind w:hanging="0"/>
              <w:jc w:val="left"/>
              <w:rPr>
                <w:rFonts w:ascii="仿宋;CESI仿宋-GB13000" w:hAnsi="仿宋;CESI仿宋-GB13000" w:eastAsia="仿宋;CESI仿宋-GB13000" w:cs="仿宋;CESI仿宋-GB13000"/>
                <w:sz w:val="28"/>
                <w:szCs w:val="28"/>
              </w:rPr>
            </w:pPr>
            <w:r>
              <w:rPr>
                <w:rFonts w:eastAsia="仿宋;CESI仿宋-GB13000" w:cs="仿宋;CESI仿宋-GB13000" w:ascii="仿宋;CESI仿宋-GB13000" w:hAnsi="仿宋;CESI仿宋-GB13000"/>
                <w:sz w:val="28"/>
                <w:szCs w:val="28"/>
              </w:rPr>
              <w:t>6.</w:t>
            </w:r>
            <w:r>
              <w:rPr>
                <w:rFonts w:ascii="仿宋;CESI仿宋-GB13000" w:hAnsi="仿宋;CESI仿宋-GB13000" w:cs="仿宋;CESI仿宋-GB13000" w:eastAsia="仿宋;CESI仿宋-GB13000"/>
                <w:sz w:val="28"/>
                <w:szCs w:val="28"/>
              </w:rPr>
              <w:t>采用非检验方式作为质量控制措施的，应当明确具体的实施方案，对质量控制措施的合理性进行说明，以确保产品符合《化妆品安全技术规范》要求。</w:t>
            </w:r>
          </w:p>
        </w:tc>
        <w:tc>
          <w:tcPr>
            <w:tcW w:w="2378"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520"/>
              <w:jc w:val="center"/>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t>□</w:t>
            </w:r>
            <w:r>
              <w:rPr>
                <w:rFonts w:ascii="仿宋_GB2312;方正仿宋_GBK" w:hAnsi="仿宋_GB2312;方正仿宋_GBK" w:cs="仿宋_GB2312;方正仿宋_GBK" w:eastAsia="仿宋_GB2312;方正仿宋_GBK"/>
                <w:sz w:val="28"/>
                <w:szCs w:val="28"/>
              </w:rPr>
              <w:t>符合 □不符合</w:t>
            </w:r>
          </w:p>
        </w:tc>
        <w:tc>
          <w:tcPr>
            <w:tcW w:w="85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360"/>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r>
          </w:p>
        </w:tc>
      </w:tr>
      <w:tr>
        <w:trPr>
          <w:trHeight w:val="90" w:hRule="atLeast"/>
        </w:trPr>
        <w:tc>
          <w:tcPr>
            <w:tcW w:w="79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Arial;DejaVu Sans" w:hAnsi="Arial;DejaVu Sans" w:eastAsia="方正仿宋_GB2312;方正仿宋_GBK" w:cs="仿宋_GB2312;方正仿宋_GBK"/>
                <w:sz w:val="28"/>
                <w:szCs w:val="28"/>
              </w:rPr>
            </w:pPr>
            <w:r>
              <w:rPr>
                <w:rFonts w:eastAsia="方正仿宋_GB2312;方正仿宋_GBK" w:cs="仿宋_GB2312;方正仿宋_GBK" w:ascii="Arial;DejaVu Sans" w:hAnsi="Arial;DejaVu Sans"/>
                <w:sz w:val="28"/>
                <w:szCs w:val="28"/>
              </w:rPr>
            </w:r>
          </w:p>
        </w:tc>
        <w:tc>
          <w:tcPr>
            <w:tcW w:w="223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Arial;DejaVu Sans" w:hAnsi="Arial;DejaVu Sans" w:eastAsia="方正仿宋_GB2312;方正仿宋_GBK" w:cs="仿宋_GB2312;方正仿宋_GBK"/>
                <w:sz w:val="28"/>
                <w:szCs w:val="28"/>
              </w:rPr>
            </w:pPr>
            <w:r>
              <w:rPr>
                <w:rFonts w:eastAsia="方正仿宋_GB2312;方正仿宋_GBK" w:cs="仿宋_GB2312;方正仿宋_GBK" w:ascii="Arial;DejaVu Sans" w:hAnsi="Arial;DejaVu Sans"/>
                <w:sz w:val="28"/>
                <w:szCs w:val="28"/>
              </w:rPr>
            </w:r>
          </w:p>
        </w:tc>
        <w:tc>
          <w:tcPr>
            <w:tcW w:w="15026" w:type="dxa"/>
            <w:tcBorders>
              <w:top w:val="single" w:sz="4" w:space="0" w:color="000000"/>
              <w:left w:val="single" w:sz="4" w:space="0" w:color="000000"/>
              <w:bottom w:val="single" w:sz="4" w:space="0" w:color="000000"/>
              <w:right w:val="single" w:sz="4" w:space="0" w:color="000000"/>
            </w:tcBorders>
          </w:tcPr>
          <w:p>
            <w:pPr>
              <w:pStyle w:val="ListParagraph"/>
              <w:overflowPunct w:val="false"/>
              <w:snapToGrid w:val="false"/>
              <w:spacing w:lineRule="exact" w:line="400"/>
              <w:ind w:hanging="0"/>
              <w:jc w:val="left"/>
              <w:rPr>
                <w:rFonts w:ascii="仿宋;CESI仿宋-GB13000" w:hAnsi="仿宋;CESI仿宋-GB13000" w:eastAsia="仿宋;CESI仿宋-GB13000" w:cs="仿宋;CESI仿宋-GB13000"/>
                <w:sz w:val="28"/>
                <w:szCs w:val="28"/>
              </w:rPr>
            </w:pPr>
            <w:r>
              <w:rPr>
                <w:rFonts w:eastAsia="仿宋;CESI仿宋-GB13000" w:cs="仿宋;CESI仿宋-GB13000" w:ascii="仿宋;CESI仿宋-GB13000" w:hAnsi="仿宋;CESI仿宋-GB13000"/>
                <w:sz w:val="28"/>
                <w:szCs w:val="28"/>
              </w:rPr>
              <w:t>7.</w:t>
            </w:r>
            <w:r>
              <w:rPr>
                <w:rFonts w:ascii="仿宋;CESI仿宋-GB13000" w:hAnsi="仿宋;CESI仿宋-GB13000" w:cs="仿宋;CESI仿宋-GB13000" w:eastAsia="仿宋;CESI仿宋-GB13000"/>
                <w:sz w:val="28"/>
                <w:szCs w:val="28"/>
              </w:rPr>
              <w:t>对使用人群和使用部位有特殊要求的，应予以说明，且与产品分类编码中使用人群和使用部位一致。</w:t>
            </w:r>
          </w:p>
        </w:tc>
        <w:tc>
          <w:tcPr>
            <w:tcW w:w="2378"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520"/>
              <w:jc w:val="center"/>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t>□</w:t>
            </w:r>
            <w:r>
              <w:rPr>
                <w:rFonts w:ascii="仿宋_GB2312;方正仿宋_GBK" w:hAnsi="仿宋_GB2312;方正仿宋_GBK" w:cs="仿宋_GB2312;方正仿宋_GBK" w:eastAsia="仿宋_GB2312;方正仿宋_GBK"/>
                <w:sz w:val="28"/>
                <w:szCs w:val="28"/>
              </w:rPr>
              <w:t>符合 □不符合</w:t>
            </w:r>
          </w:p>
        </w:tc>
        <w:tc>
          <w:tcPr>
            <w:tcW w:w="85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360"/>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r>
          </w:p>
        </w:tc>
      </w:tr>
      <w:tr>
        <w:trPr>
          <w:trHeight w:val="514" w:hRule="atLeast"/>
        </w:trPr>
        <w:tc>
          <w:tcPr>
            <w:tcW w:w="79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Arial;DejaVu Sans" w:hAnsi="Arial;DejaVu Sans" w:eastAsia="方正仿宋_GB2312;方正仿宋_GBK" w:cs="仿宋_GB2312;方正仿宋_GBK"/>
                <w:sz w:val="28"/>
                <w:szCs w:val="28"/>
              </w:rPr>
            </w:pPr>
            <w:r>
              <w:rPr>
                <w:rFonts w:eastAsia="方正仿宋_GB2312;方正仿宋_GBK" w:cs="仿宋_GB2312;方正仿宋_GBK" w:ascii="Arial;DejaVu Sans" w:hAnsi="Arial;DejaVu Sans"/>
                <w:sz w:val="28"/>
                <w:szCs w:val="28"/>
              </w:rPr>
            </w:r>
          </w:p>
        </w:tc>
        <w:tc>
          <w:tcPr>
            <w:tcW w:w="223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Arial;DejaVu Sans" w:hAnsi="Arial;DejaVu Sans" w:eastAsia="方正仿宋_GB2312;方正仿宋_GBK" w:cs="仿宋_GB2312;方正仿宋_GBK"/>
                <w:sz w:val="28"/>
                <w:szCs w:val="28"/>
              </w:rPr>
            </w:pPr>
            <w:r>
              <w:rPr>
                <w:rFonts w:eastAsia="方正仿宋_GB2312;方正仿宋_GBK" w:cs="仿宋_GB2312;方正仿宋_GBK" w:ascii="Arial;DejaVu Sans" w:hAnsi="Arial;DejaVu Sans"/>
                <w:sz w:val="28"/>
                <w:szCs w:val="28"/>
              </w:rPr>
            </w:r>
          </w:p>
        </w:tc>
        <w:tc>
          <w:tcPr>
            <w:tcW w:w="15026" w:type="dxa"/>
            <w:tcBorders>
              <w:top w:val="single" w:sz="4" w:space="0" w:color="000000"/>
              <w:left w:val="single" w:sz="4" w:space="0" w:color="000000"/>
              <w:bottom w:val="single" w:sz="4" w:space="0" w:color="000000"/>
              <w:right w:val="single" w:sz="4" w:space="0" w:color="000000"/>
            </w:tcBorders>
          </w:tcPr>
          <w:p>
            <w:pPr>
              <w:pStyle w:val="ListParagraph"/>
              <w:overflowPunct w:val="false"/>
              <w:snapToGrid w:val="false"/>
              <w:spacing w:lineRule="exact" w:line="400"/>
              <w:ind w:hanging="0"/>
              <w:jc w:val="left"/>
              <w:rPr>
                <w:rFonts w:ascii="仿宋;CESI仿宋-GB13000" w:hAnsi="仿宋;CESI仿宋-GB13000" w:eastAsia="仿宋;CESI仿宋-GB13000" w:cs="仿宋;CESI仿宋-GB13000"/>
                <w:sz w:val="28"/>
                <w:szCs w:val="28"/>
              </w:rPr>
            </w:pPr>
            <w:r>
              <w:rPr>
                <w:rFonts w:eastAsia="仿宋;CESI仿宋-GB13000" w:cs="仿宋;CESI仿宋-GB13000" w:ascii="仿宋;CESI仿宋-GB13000" w:hAnsi="仿宋;CESI仿宋-GB13000"/>
                <w:sz w:val="28"/>
                <w:szCs w:val="28"/>
              </w:rPr>
              <w:t>8.</w:t>
            </w:r>
            <w:r>
              <w:rPr>
                <w:rFonts w:ascii="仿宋;CESI仿宋-GB13000" w:hAnsi="仿宋;CESI仿宋-GB13000" w:cs="仿宋;CESI仿宋-GB13000" w:eastAsia="仿宋;CESI仿宋-GB13000"/>
                <w:sz w:val="28"/>
                <w:szCs w:val="28"/>
              </w:rPr>
              <w:t>注意事项与标签样稿上的注意事项内容一致。</w:t>
            </w:r>
          </w:p>
        </w:tc>
        <w:tc>
          <w:tcPr>
            <w:tcW w:w="2378"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520"/>
              <w:jc w:val="center"/>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t>□</w:t>
            </w:r>
            <w:r>
              <w:rPr>
                <w:rFonts w:ascii="仿宋_GB2312;方正仿宋_GBK" w:hAnsi="仿宋_GB2312;方正仿宋_GBK" w:cs="仿宋_GB2312;方正仿宋_GBK" w:eastAsia="仿宋_GB2312;方正仿宋_GBK"/>
                <w:sz w:val="28"/>
                <w:szCs w:val="28"/>
              </w:rPr>
              <w:t>符合 □不符合</w:t>
            </w:r>
          </w:p>
        </w:tc>
        <w:tc>
          <w:tcPr>
            <w:tcW w:w="85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360"/>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r>
          </w:p>
        </w:tc>
      </w:tr>
      <w:tr>
        <w:trPr>
          <w:trHeight w:val="322" w:hRule="atLeast"/>
        </w:trPr>
        <w:tc>
          <w:tcPr>
            <w:tcW w:w="79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Arial;DejaVu Sans" w:hAnsi="Arial;DejaVu Sans" w:eastAsia="方正仿宋_GB2312;方正仿宋_GBK" w:cs="仿宋_GB2312;方正仿宋_GBK"/>
                <w:sz w:val="28"/>
                <w:szCs w:val="28"/>
              </w:rPr>
            </w:pPr>
            <w:r>
              <w:rPr>
                <w:rFonts w:eastAsia="方正仿宋_GB2312;方正仿宋_GBK" w:cs="仿宋_GB2312;方正仿宋_GBK" w:ascii="Arial;DejaVu Sans" w:hAnsi="Arial;DejaVu Sans"/>
                <w:sz w:val="28"/>
                <w:szCs w:val="28"/>
              </w:rPr>
            </w:r>
          </w:p>
        </w:tc>
        <w:tc>
          <w:tcPr>
            <w:tcW w:w="223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Arial;DejaVu Sans" w:hAnsi="Arial;DejaVu Sans" w:eastAsia="方正仿宋_GB2312;方正仿宋_GBK" w:cs="仿宋_GB2312;方正仿宋_GBK"/>
                <w:sz w:val="28"/>
                <w:szCs w:val="28"/>
              </w:rPr>
            </w:pPr>
            <w:r>
              <w:rPr>
                <w:rFonts w:eastAsia="方正仿宋_GB2312;方正仿宋_GBK" w:cs="仿宋_GB2312;方正仿宋_GBK" w:ascii="Arial;DejaVu Sans" w:hAnsi="Arial;DejaVu Sans"/>
                <w:sz w:val="28"/>
                <w:szCs w:val="28"/>
              </w:rPr>
            </w:r>
          </w:p>
        </w:tc>
        <w:tc>
          <w:tcPr>
            <w:tcW w:w="15026" w:type="dxa"/>
            <w:tcBorders>
              <w:top w:val="single" w:sz="4" w:space="0" w:color="000000"/>
              <w:left w:val="single" w:sz="4" w:space="0" w:color="000000"/>
              <w:bottom w:val="single" w:sz="4" w:space="0" w:color="000000"/>
              <w:right w:val="single" w:sz="4" w:space="0" w:color="000000"/>
            </w:tcBorders>
          </w:tcPr>
          <w:p>
            <w:pPr>
              <w:pStyle w:val="ListParagraph"/>
              <w:overflowPunct w:val="false"/>
              <w:snapToGrid w:val="false"/>
              <w:spacing w:lineRule="exact" w:line="400"/>
              <w:ind w:hanging="0"/>
              <w:jc w:val="left"/>
              <w:rPr>
                <w:rFonts w:ascii="仿宋;CESI仿宋-GB13000" w:hAnsi="仿宋;CESI仿宋-GB13000" w:eastAsia="仿宋;CESI仿宋-GB13000" w:cs="仿宋;CESI仿宋-GB13000"/>
                <w:sz w:val="28"/>
                <w:szCs w:val="28"/>
              </w:rPr>
            </w:pPr>
            <w:r>
              <w:rPr>
                <w:rFonts w:eastAsia="仿宋;CESI仿宋-GB13000" w:cs="仿宋;CESI仿宋-GB13000" w:ascii="仿宋;CESI仿宋-GB13000" w:hAnsi="仿宋;CESI仿宋-GB13000"/>
                <w:sz w:val="28"/>
                <w:szCs w:val="28"/>
              </w:rPr>
              <w:t>9.</w:t>
            </w:r>
            <w:r>
              <w:rPr>
                <w:rFonts w:ascii="仿宋;CESI仿宋-GB13000" w:hAnsi="仿宋;CESI仿宋-GB13000" w:cs="仿宋;CESI仿宋-GB13000" w:eastAsia="仿宋;CESI仿宋-GB13000"/>
                <w:sz w:val="28"/>
                <w:szCs w:val="28"/>
              </w:rPr>
              <w:t>贮存条件产品配方、稳定性试验结果科学设定，如实标注并与实际贮存相符。</w:t>
            </w:r>
          </w:p>
        </w:tc>
        <w:tc>
          <w:tcPr>
            <w:tcW w:w="2378"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520"/>
              <w:jc w:val="center"/>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t>□</w:t>
            </w:r>
            <w:r>
              <w:rPr>
                <w:rFonts w:ascii="仿宋_GB2312;方正仿宋_GBK" w:hAnsi="仿宋_GB2312;方正仿宋_GBK" w:cs="仿宋_GB2312;方正仿宋_GBK" w:eastAsia="仿宋_GB2312;方正仿宋_GBK"/>
                <w:sz w:val="28"/>
                <w:szCs w:val="28"/>
              </w:rPr>
              <w:t>符合 □不符合</w:t>
            </w:r>
          </w:p>
        </w:tc>
        <w:tc>
          <w:tcPr>
            <w:tcW w:w="85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360"/>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r>
          </w:p>
        </w:tc>
      </w:tr>
      <w:tr>
        <w:trPr>
          <w:trHeight w:val="557" w:hRule="atLeast"/>
        </w:trPr>
        <w:tc>
          <w:tcPr>
            <w:tcW w:w="79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Arial;DejaVu Sans" w:hAnsi="Arial;DejaVu Sans" w:eastAsia="方正仿宋_GB2312;方正仿宋_GBK" w:cs="仿宋_GB2312;方正仿宋_GBK"/>
                <w:sz w:val="28"/>
                <w:szCs w:val="28"/>
              </w:rPr>
            </w:pPr>
            <w:r>
              <w:rPr>
                <w:rFonts w:eastAsia="方正仿宋_GB2312;方正仿宋_GBK" w:cs="仿宋_GB2312;方正仿宋_GBK" w:ascii="Arial;DejaVu Sans" w:hAnsi="Arial;DejaVu Sans"/>
                <w:sz w:val="28"/>
                <w:szCs w:val="28"/>
              </w:rPr>
            </w:r>
          </w:p>
        </w:tc>
        <w:tc>
          <w:tcPr>
            <w:tcW w:w="223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Arial;DejaVu Sans" w:hAnsi="Arial;DejaVu Sans" w:eastAsia="方正仿宋_GB2312;方正仿宋_GBK" w:cs="仿宋_GB2312;方正仿宋_GBK"/>
                <w:sz w:val="28"/>
                <w:szCs w:val="28"/>
              </w:rPr>
            </w:pPr>
            <w:r>
              <w:rPr>
                <w:rFonts w:eastAsia="方正仿宋_GB2312;方正仿宋_GBK" w:cs="仿宋_GB2312;方正仿宋_GBK" w:ascii="Arial;DejaVu Sans" w:hAnsi="Arial;DejaVu Sans"/>
                <w:sz w:val="28"/>
                <w:szCs w:val="28"/>
              </w:rPr>
            </w:r>
          </w:p>
        </w:tc>
        <w:tc>
          <w:tcPr>
            <w:tcW w:w="15026" w:type="dxa"/>
            <w:tcBorders>
              <w:top w:val="single" w:sz="4" w:space="0" w:color="000000"/>
              <w:left w:val="single" w:sz="4" w:space="0" w:color="000000"/>
              <w:bottom w:val="single" w:sz="4" w:space="0" w:color="000000"/>
              <w:right w:val="single" w:sz="4" w:space="0" w:color="000000"/>
            </w:tcBorders>
          </w:tcPr>
          <w:p>
            <w:pPr>
              <w:pStyle w:val="ListParagraph"/>
              <w:overflowPunct w:val="false"/>
              <w:snapToGrid w:val="false"/>
              <w:spacing w:lineRule="exact" w:line="400"/>
              <w:ind w:hanging="0"/>
              <w:jc w:val="left"/>
              <w:rPr>
                <w:rFonts w:ascii="仿宋;CESI仿宋-GB13000" w:hAnsi="仿宋;CESI仿宋-GB13000" w:eastAsia="仿宋;CESI仿宋-GB13000" w:cs="仿宋;CESI仿宋-GB13000"/>
                <w:sz w:val="28"/>
                <w:szCs w:val="28"/>
              </w:rPr>
            </w:pPr>
            <w:r>
              <w:rPr>
                <w:rFonts w:eastAsia="仿宋;CESI仿宋-GB13000" w:cs="仿宋;CESI仿宋-GB13000" w:ascii="仿宋;CESI仿宋-GB13000" w:hAnsi="仿宋;CESI仿宋-GB13000"/>
                <w:sz w:val="28"/>
                <w:szCs w:val="28"/>
              </w:rPr>
              <w:t>10.</w:t>
            </w:r>
            <w:r>
              <w:rPr>
                <w:rFonts w:ascii="仿宋;CESI仿宋-GB13000" w:hAnsi="仿宋;CESI仿宋-GB13000" w:cs="仿宋;CESI仿宋-GB13000" w:eastAsia="仿宋;CESI仿宋-GB13000"/>
                <w:sz w:val="28"/>
                <w:szCs w:val="28"/>
              </w:rPr>
              <w:t>使用期限须基于稳定性试验结果（含影响因素、加速、长期试验）。</w:t>
            </w:r>
          </w:p>
        </w:tc>
        <w:tc>
          <w:tcPr>
            <w:tcW w:w="2378"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520"/>
              <w:jc w:val="center"/>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t>□</w:t>
            </w:r>
            <w:r>
              <w:rPr>
                <w:rFonts w:ascii="仿宋_GB2312;方正仿宋_GBK" w:hAnsi="仿宋_GB2312;方正仿宋_GBK" w:cs="仿宋_GB2312;方正仿宋_GBK" w:eastAsia="仿宋_GB2312;方正仿宋_GBK"/>
                <w:sz w:val="28"/>
                <w:szCs w:val="28"/>
              </w:rPr>
              <w:t>符合 □不符合</w:t>
            </w:r>
          </w:p>
        </w:tc>
        <w:tc>
          <w:tcPr>
            <w:tcW w:w="85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360"/>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r>
          </w:p>
        </w:tc>
      </w:tr>
      <w:tr>
        <w:trPr>
          <w:trHeight w:val="570" w:hRule="atLeast"/>
        </w:trPr>
        <w:tc>
          <w:tcPr>
            <w:tcW w:w="79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Arial;DejaVu Sans" w:hAnsi="Arial;DejaVu Sans" w:eastAsia="方正仿宋_GB2312;方正仿宋_GBK" w:cs="仿宋_GB2312;方正仿宋_GBK"/>
                <w:sz w:val="28"/>
                <w:szCs w:val="28"/>
              </w:rPr>
            </w:pPr>
            <w:r>
              <w:rPr>
                <w:rFonts w:eastAsia="方正仿宋_GB2312;方正仿宋_GBK" w:cs="仿宋_GB2312;方正仿宋_GBK" w:ascii="Arial;DejaVu Sans" w:hAnsi="Arial;DejaVu Sans"/>
                <w:sz w:val="28"/>
                <w:szCs w:val="28"/>
              </w:rPr>
            </w:r>
          </w:p>
          <w:p>
            <w:pPr>
              <w:pStyle w:val="Normal"/>
              <w:spacing w:lineRule="exact" w:line="360"/>
              <w:jc w:val="center"/>
              <w:rPr>
                <w:rFonts w:ascii="Arial;DejaVu Sans" w:hAnsi="Arial;DejaVu Sans" w:eastAsia="方正仿宋_GB2312;方正仿宋_GBK" w:cs="仿宋_GB2312;方正仿宋_GBK"/>
                <w:kern w:val="2"/>
                <w:sz w:val="28"/>
                <w:szCs w:val="28"/>
                <w:lang w:val="en-US" w:eastAsia="zh-CN" w:bidi="ar-SA"/>
              </w:rPr>
            </w:pPr>
            <w:r>
              <w:rPr>
                <w:rFonts w:eastAsia="方正仿宋_GB2312;方正仿宋_GBK" w:cs="仿宋_GB2312;方正仿宋_GBK" w:ascii="Arial;DejaVu Sans" w:hAnsi="Arial;DejaVu Sans"/>
                <w:sz w:val="28"/>
                <w:szCs w:val="28"/>
                <w:lang w:val="en-US" w:eastAsia="zh-CN"/>
              </w:rPr>
              <w:t>5</w:t>
            </w:r>
          </w:p>
        </w:tc>
        <w:tc>
          <w:tcPr>
            <w:tcW w:w="223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exact" w:line="360"/>
              <w:jc w:val="center"/>
              <w:rPr>
                <w:rFonts w:ascii="Arial;DejaVu Sans" w:hAnsi="Arial;DejaVu Sans" w:eastAsia="方正仿宋_GB2312;方正仿宋_GBK" w:cs="仿宋_GB2312;方正仿宋_GBK"/>
                <w:sz w:val="28"/>
                <w:szCs w:val="28"/>
              </w:rPr>
            </w:pPr>
            <w:r>
              <w:rPr>
                <w:rFonts w:ascii="Arial;DejaVu Sans" w:hAnsi="Arial;DejaVu Sans" w:cs="仿宋_GB2312;方正仿宋_GBK" w:eastAsia="方正仿宋_GB2312;方正仿宋_GBK"/>
                <w:sz w:val="28"/>
                <w:szCs w:val="28"/>
              </w:rPr>
              <w:t>【产品标签】</w:t>
            </w:r>
          </w:p>
          <w:p>
            <w:pPr>
              <w:pStyle w:val="Normal"/>
              <w:spacing w:lineRule="exact" w:line="360"/>
              <w:jc w:val="center"/>
              <w:rPr>
                <w:rFonts w:ascii="Arial;DejaVu Sans" w:hAnsi="Arial;DejaVu Sans" w:eastAsia="方正仿宋_GB2312;方正仿宋_GBK" w:cs="仿宋_GB2312;方正仿宋_GBK"/>
                <w:kern w:val="2"/>
                <w:sz w:val="28"/>
                <w:szCs w:val="28"/>
                <w:lang w:val="en-US" w:eastAsia="zh-CN" w:bidi="ar-SA"/>
              </w:rPr>
            </w:pPr>
            <w:r>
              <w:rPr>
                <w:rFonts w:eastAsia="方正仿宋_GB2312;方正仿宋_GBK" w:cs="仿宋_GB2312;方正仿宋_GBK" w:ascii="Arial;DejaVu Sans" w:hAnsi="Arial;DejaVu Sans"/>
                <w:kern w:val="2"/>
                <w:sz w:val="28"/>
                <w:szCs w:val="28"/>
                <w:lang w:val="en-US" w:eastAsia="zh-CN" w:bidi="ar-SA"/>
              </w:rPr>
            </w:r>
          </w:p>
        </w:tc>
        <w:tc>
          <w:tcPr>
            <w:tcW w:w="15026" w:type="dxa"/>
            <w:tcBorders>
              <w:top w:val="single" w:sz="4" w:space="0" w:color="000000"/>
              <w:left w:val="single" w:sz="4" w:space="0" w:color="000000"/>
              <w:bottom w:val="single" w:sz="4" w:space="0" w:color="000000"/>
              <w:right w:val="single" w:sz="4" w:space="0" w:color="000000"/>
            </w:tcBorders>
            <w:vAlign w:val="center"/>
          </w:tcPr>
          <w:p>
            <w:pPr>
              <w:pStyle w:val="ListParagraph"/>
              <w:overflowPunct w:val="false"/>
              <w:spacing w:lineRule="exact" w:line="400"/>
              <w:ind w:hanging="0"/>
              <w:jc w:val="left"/>
              <w:rPr>
                <w:rFonts w:ascii="仿宋;CESI仿宋-GB13000" w:hAnsi="仿宋;CESI仿宋-GB13000" w:eastAsia="仿宋;CESI仿宋-GB13000" w:cs="仿宋;CESI仿宋-GB13000"/>
                <w:sz w:val="28"/>
                <w:szCs w:val="28"/>
              </w:rPr>
            </w:pPr>
            <w:r>
              <w:rPr>
                <w:rFonts w:eastAsia="仿宋;CESI仿宋-GB13000" w:cs="仿宋;CESI仿宋-GB13000" w:ascii="仿宋;CESI仿宋-GB13000" w:hAnsi="仿宋;CESI仿宋-GB13000"/>
                <w:sz w:val="28"/>
                <w:szCs w:val="28"/>
              </w:rPr>
              <w:t>1.</w:t>
            </w:r>
            <w:r>
              <w:rPr>
                <w:rFonts w:ascii="仿宋;CESI仿宋-GB13000" w:hAnsi="仿宋;CESI仿宋-GB13000" w:cs="仿宋;CESI仿宋-GB13000" w:eastAsia="仿宋;CESI仿宋-GB13000"/>
                <w:sz w:val="28"/>
                <w:szCs w:val="28"/>
              </w:rPr>
              <w:t>销售包装中用以引出标注内容的用语应当规范，使用“产品名称”、“特殊化妆品注册证编号”、“备案人名称”、“备案人地址”、“受托生产企业地址”、“化妆品生产许可证编号”、“成分”、“产品执行的标准编号”、“其他微量成分”、“净含量”、“产品使用期限”引出。</w:t>
            </w:r>
          </w:p>
        </w:tc>
        <w:tc>
          <w:tcPr>
            <w:tcW w:w="2378"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520"/>
              <w:jc w:val="center"/>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t>□</w:t>
            </w:r>
            <w:r>
              <w:rPr>
                <w:rFonts w:ascii="仿宋_GB2312;方正仿宋_GBK" w:hAnsi="仿宋_GB2312;方正仿宋_GBK" w:cs="仿宋_GB2312;方正仿宋_GBK" w:eastAsia="仿宋_GB2312;方正仿宋_GBK"/>
                <w:sz w:val="28"/>
                <w:szCs w:val="28"/>
              </w:rPr>
              <w:t>符合 □不符合</w:t>
            </w:r>
          </w:p>
        </w:tc>
        <w:tc>
          <w:tcPr>
            <w:tcW w:w="85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360"/>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r>
          </w:p>
        </w:tc>
      </w:tr>
      <w:tr>
        <w:trPr>
          <w:trHeight w:val="115" w:hRule="atLeast"/>
        </w:trPr>
        <w:tc>
          <w:tcPr>
            <w:tcW w:w="79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Arial;DejaVu Sans" w:hAnsi="Arial;DejaVu Sans" w:eastAsia="方正仿宋_GB2312;方正仿宋_GBK" w:cs="仿宋_GB2312;方正仿宋_GBK"/>
                <w:sz w:val="28"/>
                <w:szCs w:val="28"/>
              </w:rPr>
            </w:pPr>
            <w:r>
              <w:rPr>
                <w:rFonts w:eastAsia="方正仿宋_GB2312;方正仿宋_GBK" w:cs="仿宋_GB2312;方正仿宋_GBK" w:ascii="Arial;DejaVu Sans" w:hAnsi="Arial;DejaVu Sans"/>
                <w:sz w:val="28"/>
                <w:szCs w:val="28"/>
              </w:rPr>
            </w:r>
          </w:p>
        </w:tc>
        <w:tc>
          <w:tcPr>
            <w:tcW w:w="223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Arial;DejaVu Sans" w:hAnsi="Arial;DejaVu Sans" w:eastAsia="方正仿宋_GB2312;方正仿宋_GBK" w:cs="仿宋_GB2312;方正仿宋_GBK"/>
                <w:sz w:val="28"/>
                <w:szCs w:val="28"/>
              </w:rPr>
            </w:pPr>
            <w:r>
              <w:rPr>
                <w:rFonts w:eastAsia="方正仿宋_GB2312;方正仿宋_GBK" w:cs="仿宋_GB2312;方正仿宋_GBK" w:ascii="Arial;DejaVu Sans" w:hAnsi="Arial;DejaVu Sans"/>
                <w:sz w:val="28"/>
                <w:szCs w:val="28"/>
              </w:rPr>
            </w:r>
          </w:p>
        </w:tc>
        <w:tc>
          <w:tcPr>
            <w:tcW w:w="15026" w:type="dxa"/>
            <w:tcBorders>
              <w:top w:val="single" w:sz="4" w:space="0" w:color="000000"/>
              <w:left w:val="single" w:sz="4" w:space="0" w:color="000000"/>
              <w:bottom w:val="single" w:sz="4" w:space="0" w:color="000000"/>
              <w:right w:val="single" w:sz="4" w:space="0" w:color="000000"/>
            </w:tcBorders>
            <w:vAlign w:val="center"/>
          </w:tcPr>
          <w:p>
            <w:pPr>
              <w:pStyle w:val="ListParagraph"/>
              <w:overflowPunct w:val="false"/>
              <w:spacing w:lineRule="exact" w:line="400"/>
              <w:ind w:hanging="0"/>
              <w:jc w:val="left"/>
              <w:rPr>
                <w:rFonts w:ascii="仿宋;CESI仿宋-GB13000" w:hAnsi="仿宋;CESI仿宋-GB13000" w:eastAsia="仿宋;CESI仿宋-GB13000" w:cs="仿宋;CESI仿宋-GB13000"/>
                <w:sz w:val="28"/>
                <w:szCs w:val="28"/>
              </w:rPr>
            </w:pPr>
            <w:r>
              <w:rPr>
                <w:rFonts w:eastAsia="仿宋;CESI仿宋-GB13000" w:cs="仿宋;CESI仿宋-GB13000" w:ascii="仿宋;CESI仿宋-GB13000" w:hAnsi="仿宋;CESI仿宋-GB13000"/>
                <w:sz w:val="28"/>
                <w:szCs w:val="28"/>
              </w:rPr>
              <w:t>2.</w:t>
            </w:r>
            <w:r>
              <w:rPr>
                <w:rFonts w:ascii="仿宋;CESI仿宋-GB13000" w:hAnsi="仿宋;CESI仿宋-GB13000" w:cs="仿宋;CESI仿宋-GB13000" w:eastAsia="仿宋;CESI仿宋-GB13000"/>
                <w:sz w:val="28"/>
                <w:szCs w:val="28"/>
              </w:rPr>
              <w:t>化妆品标签应当在销售包装可视面标注化妆品全部成分的原料标准中文名称，以“成分”作为引导语引出，并按照各成分在产品配方中含量的降序列出。化妆品配方中存在含量不超过</w:t>
            </w:r>
            <w:r>
              <w:rPr>
                <w:rFonts w:eastAsia="仿宋;CESI仿宋-GB13000" w:cs="仿宋;CESI仿宋-GB13000" w:ascii="仿宋;CESI仿宋-GB13000" w:hAnsi="仿宋;CESI仿宋-GB13000"/>
                <w:sz w:val="28"/>
                <w:szCs w:val="28"/>
              </w:rPr>
              <w:t>0.1%</w:t>
            </w:r>
            <w:r>
              <w:rPr>
                <w:rFonts w:ascii="仿宋;CESI仿宋-GB13000" w:hAnsi="仿宋;CESI仿宋-GB13000" w:cs="仿宋;CESI仿宋-GB13000" w:eastAsia="仿宋;CESI仿宋-GB13000"/>
                <w:sz w:val="28"/>
                <w:szCs w:val="28"/>
              </w:rPr>
              <w:t>（</w:t>
            </w:r>
            <w:r>
              <w:rPr>
                <w:rFonts w:eastAsia="仿宋;CESI仿宋-GB13000" w:cs="仿宋;CESI仿宋-GB13000" w:ascii="仿宋;CESI仿宋-GB13000" w:hAnsi="仿宋;CESI仿宋-GB13000"/>
                <w:sz w:val="28"/>
                <w:szCs w:val="28"/>
              </w:rPr>
              <w:t>w/w</w:t>
            </w:r>
            <w:r>
              <w:rPr>
                <w:rFonts w:ascii="仿宋;CESI仿宋-GB13000" w:hAnsi="仿宋;CESI仿宋-GB13000" w:cs="仿宋;CESI仿宋-GB13000" w:eastAsia="仿宋;CESI仿宋-GB13000"/>
                <w:sz w:val="28"/>
                <w:szCs w:val="28"/>
              </w:rPr>
              <w:t>）的成分的，所有不超过</w:t>
            </w:r>
            <w:r>
              <w:rPr>
                <w:rFonts w:eastAsia="仿宋;CESI仿宋-GB13000" w:cs="仿宋;CESI仿宋-GB13000" w:ascii="仿宋;CESI仿宋-GB13000" w:hAnsi="仿宋;CESI仿宋-GB13000"/>
                <w:sz w:val="28"/>
                <w:szCs w:val="28"/>
              </w:rPr>
              <w:t>0.1%</w:t>
            </w:r>
            <w:r>
              <w:rPr>
                <w:rFonts w:ascii="仿宋;CESI仿宋-GB13000" w:hAnsi="仿宋;CESI仿宋-GB13000" w:cs="仿宋;CESI仿宋-GB13000" w:eastAsia="仿宋;CESI仿宋-GB13000"/>
                <w:sz w:val="28"/>
                <w:szCs w:val="28"/>
              </w:rPr>
              <w:t>（</w:t>
            </w:r>
            <w:r>
              <w:rPr>
                <w:rFonts w:eastAsia="仿宋;CESI仿宋-GB13000" w:cs="仿宋;CESI仿宋-GB13000" w:ascii="仿宋;CESI仿宋-GB13000" w:hAnsi="仿宋;CESI仿宋-GB13000"/>
                <w:sz w:val="28"/>
                <w:szCs w:val="28"/>
              </w:rPr>
              <w:t>w/w</w:t>
            </w:r>
            <w:r>
              <w:rPr>
                <w:rFonts w:ascii="仿宋;CESI仿宋-GB13000" w:hAnsi="仿宋;CESI仿宋-GB13000" w:cs="仿宋;CESI仿宋-GB13000" w:eastAsia="仿宋;CESI仿宋-GB13000"/>
                <w:sz w:val="28"/>
                <w:szCs w:val="28"/>
              </w:rPr>
              <w:t xml:space="preserve">）的成分应当以“其他微量成分”作为引导语引出另行标注，可以不按照成分含量的降序列出。  </w:t>
            </w:r>
          </w:p>
        </w:tc>
        <w:tc>
          <w:tcPr>
            <w:tcW w:w="2378"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520"/>
              <w:jc w:val="center"/>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t>□</w:t>
            </w:r>
            <w:r>
              <w:rPr>
                <w:rFonts w:ascii="仿宋_GB2312;方正仿宋_GBK" w:hAnsi="仿宋_GB2312;方正仿宋_GBK" w:cs="仿宋_GB2312;方正仿宋_GBK" w:eastAsia="仿宋_GB2312;方正仿宋_GBK"/>
                <w:sz w:val="28"/>
                <w:szCs w:val="28"/>
              </w:rPr>
              <w:t>符合 □不符合</w:t>
            </w:r>
          </w:p>
        </w:tc>
        <w:tc>
          <w:tcPr>
            <w:tcW w:w="85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360"/>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r>
          </w:p>
        </w:tc>
      </w:tr>
      <w:tr>
        <w:trPr>
          <w:trHeight w:val="841" w:hRule="atLeast"/>
          <w:cantSplit w:val="true"/>
        </w:trPr>
        <w:tc>
          <w:tcPr>
            <w:tcW w:w="79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Arial;DejaVu Sans" w:hAnsi="Arial;DejaVu Sans" w:eastAsia="方正仿宋_GB2312;方正仿宋_GBK" w:cs="仿宋_GB2312;方正仿宋_GBK"/>
                <w:sz w:val="28"/>
                <w:szCs w:val="28"/>
              </w:rPr>
            </w:pPr>
            <w:r>
              <w:rPr>
                <w:rFonts w:eastAsia="方正仿宋_GB2312;方正仿宋_GBK" w:cs="仿宋_GB2312;方正仿宋_GBK" w:ascii="Arial;DejaVu Sans" w:hAnsi="Arial;DejaVu Sans"/>
                <w:sz w:val="28"/>
                <w:szCs w:val="28"/>
              </w:rPr>
            </w:r>
          </w:p>
        </w:tc>
        <w:tc>
          <w:tcPr>
            <w:tcW w:w="223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Arial;DejaVu Sans" w:hAnsi="Arial;DejaVu Sans" w:eastAsia="方正仿宋_GB2312;方正仿宋_GBK" w:cs="仿宋_GB2312;方正仿宋_GBK"/>
                <w:sz w:val="28"/>
                <w:szCs w:val="28"/>
              </w:rPr>
            </w:pPr>
            <w:r>
              <w:rPr>
                <w:rFonts w:eastAsia="方正仿宋_GB2312;方正仿宋_GBK" w:cs="仿宋_GB2312;方正仿宋_GBK" w:ascii="Arial;DejaVu Sans" w:hAnsi="Arial;DejaVu Sans"/>
                <w:sz w:val="28"/>
                <w:szCs w:val="28"/>
              </w:rPr>
            </w:r>
          </w:p>
        </w:tc>
        <w:tc>
          <w:tcPr>
            <w:tcW w:w="15026" w:type="dxa"/>
            <w:tcBorders>
              <w:top w:val="single" w:sz="4" w:space="0" w:color="000000"/>
              <w:left w:val="single" w:sz="4" w:space="0" w:color="000000"/>
              <w:bottom w:val="single" w:sz="4" w:space="0" w:color="000000"/>
              <w:right w:val="single" w:sz="4" w:space="0" w:color="000000"/>
            </w:tcBorders>
            <w:vAlign w:val="center"/>
          </w:tcPr>
          <w:p>
            <w:pPr>
              <w:pStyle w:val="ListParagraph"/>
              <w:overflowPunct w:val="false"/>
              <w:snapToGrid w:val="false"/>
              <w:spacing w:lineRule="exact" w:line="400"/>
              <w:ind w:hanging="0"/>
              <w:jc w:val="left"/>
              <w:rPr>
                <w:rFonts w:ascii="仿宋;CESI仿宋-GB13000" w:hAnsi="仿宋;CESI仿宋-GB13000" w:eastAsia="仿宋;CESI仿宋-GB13000" w:cs="仿宋;CESI仿宋-GB13000"/>
                <w:sz w:val="28"/>
                <w:szCs w:val="28"/>
              </w:rPr>
            </w:pPr>
            <w:r>
              <w:rPr>
                <w:rFonts w:eastAsia="仿宋;CESI仿宋-GB13000" w:cs="仿宋;CESI仿宋-GB13000" w:ascii="仿宋;CESI仿宋-GB13000" w:hAnsi="仿宋;CESI仿宋-GB13000"/>
                <w:sz w:val="28"/>
                <w:szCs w:val="28"/>
              </w:rPr>
              <w:t>3.</w:t>
            </w:r>
            <w:r>
              <w:rPr>
                <w:rFonts w:ascii="仿宋;CESI仿宋-GB13000" w:hAnsi="仿宋;CESI仿宋-GB13000" w:cs="仿宋;CESI仿宋-GB13000" w:eastAsia="仿宋;CESI仿宋-GB13000"/>
                <w:sz w:val="28"/>
                <w:szCs w:val="28"/>
              </w:rPr>
              <w:t>化妆品应当有中文标签。中文标签应当使用规范汉字，使用其他文字或者符号的，应当在产品销售包装可视面使用规范汉字对应解释说明（网址、境外企业的名称和地址以及约定俗成的专业术语等必须使用其他文字的除外）。</w:t>
            </w:r>
          </w:p>
        </w:tc>
        <w:tc>
          <w:tcPr>
            <w:tcW w:w="2378"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520"/>
              <w:jc w:val="center"/>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t>□</w:t>
            </w:r>
            <w:r>
              <w:rPr>
                <w:rFonts w:ascii="仿宋_GB2312;方正仿宋_GBK" w:hAnsi="仿宋_GB2312;方正仿宋_GBK" w:cs="仿宋_GB2312;方正仿宋_GBK" w:eastAsia="仿宋_GB2312;方正仿宋_GBK"/>
                <w:sz w:val="28"/>
                <w:szCs w:val="28"/>
              </w:rPr>
              <w:t>符合 □不符合</w:t>
            </w:r>
          </w:p>
        </w:tc>
        <w:tc>
          <w:tcPr>
            <w:tcW w:w="85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360"/>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r>
          </w:p>
        </w:tc>
      </w:tr>
      <w:tr>
        <w:trPr>
          <w:trHeight w:val="131" w:hRule="atLeast"/>
        </w:trPr>
        <w:tc>
          <w:tcPr>
            <w:tcW w:w="79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Arial;DejaVu Sans" w:hAnsi="Arial;DejaVu Sans" w:eastAsia="方正仿宋_GB2312;方正仿宋_GBK" w:cs="仿宋_GB2312;方正仿宋_GBK"/>
                <w:sz w:val="28"/>
                <w:szCs w:val="28"/>
              </w:rPr>
            </w:pPr>
            <w:r>
              <w:rPr>
                <w:rFonts w:eastAsia="方正仿宋_GB2312;方正仿宋_GBK" w:cs="仿宋_GB2312;方正仿宋_GBK" w:ascii="Arial;DejaVu Sans" w:hAnsi="Arial;DejaVu Sans"/>
                <w:sz w:val="28"/>
                <w:szCs w:val="28"/>
              </w:rPr>
            </w:r>
          </w:p>
        </w:tc>
        <w:tc>
          <w:tcPr>
            <w:tcW w:w="223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Arial;DejaVu Sans" w:hAnsi="Arial;DejaVu Sans" w:eastAsia="方正仿宋_GB2312;方正仿宋_GBK" w:cs="仿宋_GB2312;方正仿宋_GBK"/>
                <w:sz w:val="28"/>
                <w:szCs w:val="28"/>
              </w:rPr>
            </w:pPr>
            <w:r>
              <w:rPr>
                <w:rFonts w:eastAsia="方正仿宋_GB2312;方正仿宋_GBK" w:cs="仿宋_GB2312;方正仿宋_GBK" w:ascii="Arial;DejaVu Sans" w:hAnsi="Arial;DejaVu Sans"/>
                <w:sz w:val="28"/>
                <w:szCs w:val="28"/>
              </w:rPr>
            </w:r>
          </w:p>
        </w:tc>
        <w:tc>
          <w:tcPr>
            <w:tcW w:w="15026" w:type="dxa"/>
            <w:tcBorders>
              <w:top w:val="single" w:sz="4" w:space="0" w:color="000000"/>
              <w:left w:val="single" w:sz="4" w:space="0" w:color="000000"/>
              <w:bottom w:val="single" w:sz="4" w:space="0" w:color="000000"/>
              <w:right w:val="single" w:sz="4" w:space="0" w:color="000000"/>
            </w:tcBorders>
            <w:vAlign w:val="center"/>
          </w:tcPr>
          <w:p>
            <w:pPr>
              <w:pStyle w:val="ListParagraph"/>
              <w:overflowPunct w:val="false"/>
              <w:spacing w:lineRule="exact" w:line="400"/>
              <w:ind w:hanging="0"/>
              <w:jc w:val="left"/>
              <w:rPr>
                <w:rFonts w:ascii="仿宋;CESI仿宋-GB13000" w:hAnsi="仿宋;CESI仿宋-GB13000" w:eastAsia="仿宋;CESI仿宋-GB13000" w:cs="仿宋;CESI仿宋-GB13000"/>
                <w:sz w:val="28"/>
                <w:szCs w:val="28"/>
              </w:rPr>
            </w:pPr>
            <w:r>
              <w:rPr>
                <w:rFonts w:eastAsia="仿宋;CESI仿宋-GB13000" w:cs="仿宋;CESI仿宋-GB13000" w:ascii="仿宋;CESI仿宋-GB13000" w:hAnsi="仿宋;CESI仿宋-GB13000"/>
                <w:sz w:val="28"/>
                <w:szCs w:val="28"/>
              </w:rPr>
              <w:t>4.</w:t>
            </w:r>
            <w:r>
              <w:rPr>
                <w:rFonts w:ascii="仿宋;CESI仿宋-GB13000" w:hAnsi="仿宋;CESI仿宋-GB13000" w:cs="仿宋;CESI仿宋-GB13000" w:eastAsia="仿宋;CESI仿宋-GB13000"/>
                <w:sz w:val="28"/>
                <w:szCs w:val="28"/>
              </w:rPr>
              <w:t>进口化妆品加贴中文标签的，中文标签有关产品安全、功效宣称的内容应当与原标签相关内容对应一致。</w:t>
            </w:r>
          </w:p>
        </w:tc>
        <w:tc>
          <w:tcPr>
            <w:tcW w:w="2378"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520"/>
              <w:jc w:val="center"/>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t>□</w:t>
            </w:r>
            <w:r>
              <w:rPr>
                <w:rFonts w:ascii="仿宋_GB2312;方正仿宋_GBK" w:hAnsi="仿宋_GB2312;方正仿宋_GBK" w:cs="仿宋_GB2312;方正仿宋_GBK" w:eastAsia="仿宋_GB2312;方正仿宋_GBK"/>
                <w:sz w:val="28"/>
                <w:szCs w:val="28"/>
              </w:rPr>
              <w:t>符合 □不符合</w:t>
            </w:r>
          </w:p>
        </w:tc>
        <w:tc>
          <w:tcPr>
            <w:tcW w:w="85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360"/>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r>
          </w:p>
        </w:tc>
      </w:tr>
      <w:tr>
        <w:trPr>
          <w:trHeight w:val="397" w:hRule="atLeast"/>
        </w:trPr>
        <w:tc>
          <w:tcPr>
            <w:tcW w:w="79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Arial;DejaVu Sans" w:hAnsi="Arial;DejaVu Sans" w:eastAsia="方正仿宋_GB2312;方正仿宋_GBK" w:cs="仿宋_GB2312;方正仿宋_GBK"/>
                <w:sz w:val="28"/>
                <w:szCs w:val="28"/>
              </w:rPr>
            </w:pPr>
            <w:r>
              <w:rPr>
                <w:rFonts w:eastAsia="方正仿宋_GB2312;方正仿宋_GBK" w:cs="仿宋_GB2312;方正仿宋_GBK" w:ascii="Arial;DejaVu Sans" w:hAnsi="Arial;DejaVu Sans"/>
                <w:sz w:val="28"/>
                <w:szCs w:val="28"/>
              </w:rPr>
            </w:r>
          </w:p>
        </w:tc>
        <w:tc>
          <w:tcPr>
            <w:tcW w:w="223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Arial;DejaVu Sans" w:hAnsi="Arial;DejaVu Sans" w:eastAsia="方正仿宋_GB2312;方正仿宋_GBK" w:cs="仿宋_GB2312;方正仿宋_GBK"/>
                <w:sz w:val="28"/>
                <w:szCs w:val="28"/>
              </w:rPr>
            </w:pPr>
            <w:r>
              <w:rPr>
                <w:rFonts w:eastAsia="方正仿宋_GB2312;方正仿宋_GBK" w:cs="仿宋_GB2312;方正仿宋_GBK" w:ascii="Arial;DejaVu Sans" w:hAnsi="Arial;DejaVu Sans"/>
                <w:sz w:val="28"/>
                <w:szCs w:val="28"/>
              </w:rPr>
            </w:r>
          </w:p>
        </w:tc>
        <w:tc>
          <w:tcPr>
            <w:tcW w:w="15026" w:type="dxa"/>
            <w:tcBorders>
              <w:top w:val="single" w:sz="4" w:space="0" w:color="000000"/>
              <w:left w:val="single" w:sz="4" w:space="0" w:color="000000"/>
              <w:bottom w:val="single" w:sz="4" w:space="0" w:color="000000"/>
              <w:right w:val="single" w:sz="4" w:space="0" w:color="000000"/>
            </w:tcBorders>
            <w:vAlign w:val="center"/>
          </w:tcPr>
          <w:p>
            <w:pPr>
              <w:pStyle w:val="ListParagraph"/>
              <w:overflowPunct w:val="false"/>
              <w:snapToGrid w:val="false"/>
              <w:spacing w:lineRule="exact" w:line="400"/>
              <w:ind w:hanging="0"/>
              <w:jc w:val="left"/>
              <w:rPr>
                <w:rFonts w:ascii="仿宋;CESI仿宋-GB13000" w:hAnsi="仿宋;CESI仿宋-GB13000" w:eastAsia="仿宋;CESI仿宋-GB13000" w:cs="仿宋;CESI仿宋-GB13000"/>
                <w:sz w:val="28"/>
                <w:szCs w:val="28"/>
              </w:rPr>
            </w:pPr>
            <w:r>
              <w:rPr>
                <w:rFonts w:eastAsia="仿宋;CESI仿宋-GB13000" w:cs="仿宋;CESI仿宋-GB13000" w:ascii="仿宋;CESI仿宋-GB13000" w:hAnsi="仿宋;CESI仿宋-GB13000"/>
                <w:sz w:val="28"/>
                <w:szCs w:val="28"/>
              </w:rPr>
              <w:t>5.</w:t>
            </w:r>
            <w:r>
              <w:rPr>
                <w:rFonts w:ascii="仿宋;CESI仿宋-GB13000" w:hAnsi="仿宋;CESI仿宋-GB13000" w:cs="仿宋;CESI仿宋-GB13000" w:eastAsia="仿宋;CESI仿宋-GB13000"/>
                <w:sz w:val="28"/>
                <w:szCs w:val="28"/>
              </w:rPr>
              <w:t xml:space="preserve">除注册商标之外，中文标签同一可视面上其他文字字体的字号应当小于或者等于相应的规范汉字字体的字号。  </w:t>
            </w:r>
          </w:p>
        </w:tc>
        <w:tc>
          <w:tcPr>
            <w:tcW w:w="2378"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520"/>
              <w:jc w:val="center"/>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t>□</w:t>
            </w:r>
            <w:r>
              <w:rPr>
                <w:rFonts w:ascii="仿宋_GB2312;方正仿宋_GBK" w:hAnsi="仿宋_GB2312;方正仿宋_GBK" w:cs="仿宋_GB2312;方正仿宋_GBK" w:eastAsia="仿宋_GB2312;方正仿宋_GBK"/>
                <w:sz w:val="28"/>
                <w:szCs w:val="28"/>
              </w:rPr>
              <w:t>符合 □不符合</w:t>
            </w:r>
          </w:p>
        </w:tc>
        <w:tc>
          <w:tcPr>
            <w:tcW w:w="85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360"/>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r>
          </w:p>
        </w:tc>
      </w:tr>
      <w:tr>
        <w:trPr>
          <w:trHeight w:val="543" w:hRule="atLeast"/>
        </w:trPr>
        <w:tc>
          <w:tcPr>
            <w:tcW w:w="79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Arial;DejaVu Sans" w:hAnsi="Arial;DejaVu Sans" w:eastAsia="方正仿宋_GB2312;方正仿宋_GBK" w:cs="仿宋_GB2312;方正仿宋_GBK"/>
                <w:sz w:val="28"/>
                <w:szCs w:val="28"/>
              </w:rPr>
            </w:pPr>
            <w:r>
              <w:rPr>
                <w:rFonts w:eastAsia="方正仿宋_GB2312;方正仿宋_GBK" w:cs="仿宋_GB2312;方正仿宋_GBK" w:ascii="Arial;DejaVu Sans" w:hAnsi="Arial;DejaVu Sans"/>
                <w:sz w:val="28"/>
                <w:szCs w:val="28"/>
              </w:rPr>
            </w:r>
          </w:p>
        </w:tc>
        <w:tc>
          <w:tcPr>
            <w:tcW w:w="223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Arial;DejaVu Sans" w:hAnsi="Arial;DejaVu Sans" w:eastAsia="方正仿宋_GB2312;方正仿宋_GBK" w:cs="仿宋_GB2312;方正仿宋_GBK"/>
                <w:sz w:val="28"/>
                <w:szCs w:val="28"/>
              </w:rPr>
            </w:pPr>
            <w:r>
              <w:rPr>
                <w:rFonts w:eastAsia="方正仿宋_GB2312;方正仿宋_GBK" w:cs="仿宋_GB2312;方正仿宋_GBK" w:ascii="Arial;DejaVu Sans" w:hAnsi="Arial;DejaVu Sans"/>
                <w:sz w:val="28"/>
                <w:szCs w:val="28"/>
              </w:rPr>
            </w:r>
          </w:p>
        </w:tc>
        <w:tc>
          <w:tcPr>
            <w:tcW w:w="15026" w:type="dxa"/>
            <w:tcBorders>
              <w:top w:val="single" w:sz="4" w:space="0" w:color="000000"/>
              <w:left w:val="single" w:sz="4" w:space="0" w:color="000000"/>
              <w:bottom w:val="single" w:sz="4" w:space="0" w:color="000000"/>
              <w:right w:val="single" w:sz="4" w:space="0" w:color="000000"/>
            </w:tcBorders>
            <w:vAlign w:val="center"/>
          </w:tcPr>
          <w:p>
            <w:pPr>
              <w:pStyle w:val="ListParagraph"/>
              <w:overflowPunct w:val="false"/>
              <w:snapToGrid w:val="false"/>
              <w:spacing w:lineRule="exact" w:line="400"/>
              <w:ind w:hanging="0"/>
              <w:jc w:val="left"/>
              <w:rPr>
                <w:rFonts w:ascii="仿宋;CESI仿宋-GB13000" w:hAnsi="仿宋;CESI仿宋-GB13000" w:eastAsia="仿宋;CESI仿宋-GB13000" w:cs="仿宋;CESI仿宋-GB13000"/>
                <w:sz w:val="28"/>
                <w:szCs w:val="28"/>
              </w:rPr>
            </w:pPr>
            <w:r>
              <w:rPr>
                <w:rFonts w:eastAsia="仿宋;CESI仿宋-GB13000" w:cs="仿宋;CESI仿宋-GB13000" w:ascii="仿宋;CESI仿宋-GB13000" w:hAnsi="仿宋;CESI仿宋-GB13000"/>
                <w:sz w:val="28"/>
                <w:szCs w:val="28"/>
              </w:rPr>
              <w:t>6.</w:t>
            </w:r>
            <w:r>
              <w:rPr>
                <w:rFonts w:ascii="仿宋;CESI仿宋-GB13000" w:hAnsi="仿宋;CESI仿宋-GB13000" w:cs="仿宋;CESI仿宋-GB13000" w:eastAsia="仿宋;CESI仿宋-GB13000"/>
                <w:sz w:val="28"/>
                <w:szCs w:val="28"/>
              </w:rPr>
              <w:t>具有包装盒的产品，还应当同时在直接接触内容物的包装容器上标注产品中文名称和使用期限。若有说明书的还应上传说明书。所有图片均应加盖备案人或境内责任人公章。</w:t>
            </w:r>
          </w:p>
        </w:tc>
        <w:tc>
          <w:tcPr>
            <w:tcW w:w="2378"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520"/>
              <w:jc w:val="center"/>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t>□</w:t>
            </w:r>
            <w:r>
              <w:rPr>
                <w:rFonts w:ascii="仿宋_GB2312;方正仿宋_GBK" w:hAnsi="仿宋_GB2312;方正仿宋_GBK" w:cs="仿宋_GB2312;方正仿宋_GBK" w:eastAsia="仿宋_GB2312;方正仿宋_GBK"/>
                <w:sz w:val="28"/>
                <w:szCs w:val="28"/>
              </w:rPr>
              <w:t>符合 □不符合</w:t>
            </w:r>
          </w:p>
        </w:tc>
        <w:tc>
          <w:tcPr>
            <w:tcW w:w="85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360"/>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r>
          </w:p>
        </w:tc>
      </w:tr>
      <w:tr>
        <w:trPr>
          <w:trHeight w:val="156" w:hRule="atLeast"/>
        </w:trPr>
        <w:tc>
          <w:tcPr>
            <w:tcW w:w="79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Arial;DejaVu Sans" w:hAnsi="Arial;DejaVu Sans" w:eastAsia="方正仿宋_GB2312;方正仿宋_GBK" w:cs="仿宋_GB2312;方正仿宋_GBK"/>
                <w:kern w:val="2"/>
                <w:sz w:val="28"/>
                <w:szCs w:val="28"/>
                <w:lang w:val="en-US" w:eastAsia="zh-CN" w:bidi="ar-SA"/>
              </w:rPr>
            </w:pPr>
            <w:r>
              <w:rPr>
                <w:rFonts w:eastAsia="方正仿宋_GB2312;方正仿宋_GBK" w:cs="仿宋_GB2312;方正仿宋_GBK" w:ascii="Arial;DejaVu Sans" w:hAnsi="Arial;DejaVu Sans"/>
                <w:kern w:val="2"/>
                <w:sz w:val="28"/>
                <w:szCs w:val="28"/>
                <w:lang w:val="en-US" w:eastAsia="zh-CN" w:bidi="ar-SA"/>
              </w:rPr>
            </w:r>
          </w:p>
        </w:tc>
        <w:tc>
          <w:tcPr>
            <w:tcW w:w="223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Arial;DejaVu Sans" w:hAnsi="Arial;DejaVu Sans" w:eastAsia="方正仿宋_GB2312;方正仿宋_GBK" w:cs="仿宋_GB2312;方正仿宋_GBK"/>
                <w:kern w:val="2"/>
                <w:sz w:val="28"/>
                <w:szCs w:val="28"/>
                <w:lang w:val="en-US" w:eastAsia="zh-CN" w:bidi="ar-SA"/>
              </w:rPr>
            </w:pPr>
            <w:r>
              <w:rPr>
                <w:rFonts w:eastAsia="方正仿宋_GB2312;方正仿宋_GBK" w:cs="仿宋_GB2312;方正仿宋_GBK" w:ascii="Arial;DejaVu Sans" w:hAnsi="Arial;DejaVu Sans"/>
                <w:kern w:val="2"/>
                <w:sz w:val="28"/>
                <w:szCs w:val="28"/>
                <w:lang w:val="en-US" w:eastAsia="zh-CN" w:bidi="ar-SA"/>
              </w:rPr>
            </w:r>
          </w:p>
        </w:tc>
        <w:tc>
          <w:tcPr>
            <w:tcW w:w="15026" w:type="dxa"/>
            <w:tcBorders>
              <w:top w:val="single" w:sz="4" w:space="0" w:color="000000"/>
              <w:left w:val="single" w:sz="4" w:space="0" w:color="000000"/>
              <w:bottom w:val="single" w:sz="4" w:space="0" w:color="000000"/>
              <w:right w:val="single" w:sz="4" w:space="0" w:color="000000"/>
            </w:tcBorders>
            <w:vAlign w:val="center"/>
          </w:tcPr>
          <w:p>
            <w:pPr>
              <w:pStyle w:val="ListParagraph"/>
              <w:overflowPunct w:val="false"/>
              <w:snapToGrid w:val="false"/>
              <w:spacing w:lineRule="exact" w:line="400"/>
              <w:ind w:hanging="0"/>
              <w:jc w:val="left"/>
              <w:rPr>
                <w:rFonts w:ascii="仿宋;CESI仿宋-GB13000" w:hAnsi="仿宋;CESI仿宋-GB13000" w:eastAsia="仿宋;CESI仿宋-GB13000" w:cs="仿宋;CESI仿宋-GB13000"/>
                <w:sz w:val="28"/>
                <w:szCs w:val="28"/>
              </w:rPr>
            </w:pPr>
            <w:r>
              <w:rPr>
                <w:rFonts w:eastAsia="仿宋;CESI仿宋-GB13000" w:cs="仿宋;CESI仿宋-GB13000" w:ascii="仿宋;CESI仿宋-GB13000" w:hAnsi="仿宋;CESI仿宋-GB13000"/>
                <w:sz w:val="28"/>
                <w:szCs w:val="28"/>
              </w:rPr>
              <w:t>7.</w:t>
            </w:r>
            <w:r>
              <w:rPr>
                <w:rFonts w:ascii="仿宋;CESI仿宋-GB13000" w:hAnsi="仿宋;CESI仿宋-GB13000" w:cs="仿宋;CESI仿宋-GB13000" w:eastAsia="仿宋;CESI仿宋-GB13000"/>
                <w:sz w:val="28"/>
                <w:szCs w:val="28"/>
              </w:rPr>
              <w:t>化妆品的净含量应当使用国家法定计量单位表示，并在销售包装展示面（化妆品在陈列时，除底面外能被消费者看到的任何面）标注。使用其他计量单位时，应当折算为国家法定计量单位。固体、粉末通常使用</w:t>
            </w:r>
            <w:r>
              <w:rPr>
                <w:rFonts w:eastAsia="仿宋;CESI仿宋-GB13000" w:cs="仿宋;CESI仿宋-GB13000" w:ascii="仿宋;CESI仿宋-GB13000" w:hAnsi="仿宋;CESI仿宋-GB13000"/>
                <w:sz w:val="28"/>
                <w:szCs w:val="28"/>
              </w:rPr>
              <w:t>g/kg</w:t>
            </w:r>
            <w:r>
              <w:rPr>
                <w:rFonts w:ascii="仿宋;CESI仿宋-GB13000" w:hAnsi="仿宋;CESI仿宋-GB13000" w:cs="仿宋;CESI仿宋-GB13000" w:eastAsia="仿宋;CESI仿宋-GB13000"/>
                <w:sz w:val="28"/>
                <w:szCs w:val="28"/>
              </w:rPr>
              <w:t>，液体通常使用</w:t>
            </w:r>
            <w:r>
              <w:rPr>
                <w:rFonts w:eastAsia="仿宋;CESI仿宋-GB13000" w:cs="仿宋;CESI仿宋-GB13000" w:ascii="仿宋;CESI仿宋-GB13000" w:hAnsi="仿宋;CESI仿宋-GB13000"/>
                <w:sz w:val="28"/>
                <w:szCs w:val="28"/>
              </w:rPr>
              <w:t>mL/L</w:t>
            </w:r>
            <w:r>
              <w:rPr>
                <w:rFonts w:ascii="仿宋;CESI仿宋-GB13000" w:hAnsi="仿宋;CESI仿宋-GB13000" w:cs="仿宋;CESI仿宋-GB13000" w:eastAsia="仿宋;CESI仿宋-GB13000"/>
                <w:sz w:val="28"/>
                <w:szCs w:val="28"/>
              </w:rPr>
              <w:t>、</w:t>
            </w:r>
            <w:r>
              <w:rPr>
                <w:rFonts w:eastAsia="仿宋;CESI仿宋-GB13000" w:cs="仿宋;CESI仿宋-GB13000" w:ascii="仿宋;CESI仿宋-GB13000" w:hAnsi="仿宋;CESI仿宋-GB13000"/>
                <w:sz w:val="28"/>
                <w:szCs w:val="28"/>
              </w:rPr>
              <w:t>g/kg</w:t>
            </w:r>
            <w:r>
              <w:rPr>
                <w:rFonts w:ascii="仿宋;CESI仿宋-GB13000" w:hAnsi="仿宋;CESI仿宋-GB13000" w:cs="仿宋;CESI仿宋-GB13000" w:eastAsia="仿宋;CESI仿宋-GB13000"/>
                <w:sz w:val="28"/>
                <w:szCs w:val="28"/>
              </w:rPr>
              <w:t>作单位。有多种规格包装的，应当分别在净含量栏目中列出。</w:t>
            </w:r>
          </w:p>
        </w:tc>
        <w:tc>
          <w:tcPr>
            <w:tcW w:w="2378"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520"/>
              <w:jc w:val="center"/>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t>□</w:t>
            </w:r>
            <w:r>
              <w:rPr>
                <w:rFonts w:ascii="仿宋_GB2312;方正仿宋_GBK" w:hAnsi="仿宋_GB2312;方正仿宋_GBK" w:cs="仿宋_GB2312;方正仿宋_GBK" w:eastAsia="仿宋_GB2312;方正仿宋_GBK"/>
                <w:sz w:val="28"/>
                <w:szCs w:val="28"/>
              </w:rPr>
              <w:t>符合 □不符合</w:t>
            </w:r>
          </w:p>
        </w:tc>
        <w:tc>
          <w:tcPr>
            <w:tcW w:w="85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360"/>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r>
          </w:p>
        </w:tc>
      </w:tr>
      <w:tr>
        <w:trPr>
          <w:trHeight w:val="591" w:hRule="atLeast"/>
        </w:trPr>
        <w:tc>
          <w:tcPr>
            <w:tcW w:w="79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Arial;DejaVu Sans" w:hAnsi="Arial;DejaVu Sans" w:eastAsia="方正仿宋_GB2312;方正仿宋_GBK" w:cs="仿宋_GB2312;方正仿宋_GBK"/>
                <w:sz w:val="28"/>
                <w:szCs w:val="28"/>
              </w:rPr>
            </w:pPr>
            <w:r>
              <w:rPr>
                <w:rFonts w:eastAsia="方正仿宋_GB2312;方正仿宋_GBK" w:cs="仿宋_GB2312;方正仿宋_GBK" w:ascii="Arial;DejaVu Sans" w:hAnsi="Arial;DejaVu Sans"/>
                <w:sz w:val="28"/>
                <w:szCs w:val="28"/>
              </w:rPr>
            </w:r>
          </w:p>
        </w:tc>
        <w:tc>
          <w:tcPr>
            <w:tcW w:w="223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Arial;DejaVu Sans" w:hAnsi="Arial;DejaVu Sans" w:eastAsia="方正仿宋_GB2312;方正仿宋_GBK" w:cs="仿宋_GB2312;方正仿宋_GBK"/>
                <w:sz w:val="28"/>
                <w:szCs w:val="28"/>
              </w:rPr>
            </w:pPr>
            <w:r>
              <w:rPr>
                <w:rFonts w:eastAsia="方正仿宋_GB2312;方正仿宋_GBK" w:cs="仿宋_GB2312;方正仿宋_GBK" w:ascii="Arial;DejaVu Sans" w:hAnsi="Arial;DejaVu Sans"/>
                <w:sz w:val="28"/>
                <w:szCs w:val="28"/>
              </w:rPr>
            </w:r>
          </w:p>
        </w:tc>
        <w:tc>
          <w:tcPr>
            <w:tcW w:w="15026" w:type="dxa"/>
            <w:tcBorders>
              <w:top w:val="single" w:sz="4" w:space="0" w:color="000000"/>
              <w:left w:val="single" w:sz="4" w:space="0" w:color="000000"/>
              <w:bottom w:val="single" w:sz="4" w:space="0" w:color="000000"/>
              <w:right w:val="single" w:sz="4" w:space="0" w:color="000000"/>
            </w:tcBorders>
            <w:vAlign w:val="center"/>
          </w:tcPr>
          <w:p>
            <w:pPr>
              <w:pStyle w:val="ListParagraph"/>
              <w:overflowPunct w:val="false"/>
              <w:snapToGrid w:val="false"/>
              <w:spacing w:lineRule="exact" w:line="400"/>
              <w:ind w:hanging="0"/>
              <w:jc w:val="left"/>
              <w:rPr>
                <w:rFonts w:ascii="仿宋;CESI仿宋-GB13000" w:hAnsi="仿宋;CESI仿宋-GB13000" w:eastAsia="仿宋;CESI仿宋-GB13000" w:cs="仿宋;CESI仿宋-GB13000"/>
                <w:sz w:val="28"/>
                <w:szCs w:val="28"/>
              </w:rPr>
            </w:pPr>
            <w:r>
              <w:rPr>
                <w:rFonts w:eastAsia="仿宋;CESI仿宋-GB13000" w:cs="仿宋;CESI仿宋-GB13000" w:ascii="仿宋;CESI仿宋-GB13000" w:hAnsi="仿宋;CESI仿宋-GB13000"/>
                <w:sz w:val="28"/>
                <w:szCs w:val="28"/>
              </w:rPr>
              <w:t>8.</w:t>
            </w:r>
            <w:r>
              <w:rPr>
                <w:rFonts w:ascii="仿宋;CESI仿宋-GB13000" w:hAnsi="仿宋;CESI仿宋-GB13000" w:cs="仿宋;CESI仿宋-GB13000" w:eastAsia="仿宋;CESI仿宋-GB13000"/>
                <w:sz w:val="28"/>
                <w:szCs w:val="28"/>
              </w:rPr>
              <w:t>化妆品备案人或境内责任人上传的产品销售包装图片应当符合以下要求：</w:t>
            </w:r>
          </w:p>
          <w:p>
            <w:pPr>
              <w:pStyle w:val="ListParagraph"/>
              <w:overflowPunct w:val="false"/>
              <w:snapToGrid w:val="false"/>
              <w:spacing w:lineRule="exact" w:line="400"/>
              <w:ind w:hanging="0"/>
              <w:jc w:val="left"/>
              <w:rPr>
                <w:rFonts w:ascii="仿宋;CESI仿宋-GB13000" w:hAnsi="仿宋;CESI仿宋-GB13000" w:eastAsia="仿宋;CESI仿宋-GB13000" w:cs="仿宋;CESI仿宋-GB13000"/>
                <w:sz w:val="28"/>
                <w:szCs w:val="28"/>
              </w:rPr>
            </w:pPr>
            <w:r>
              <w:rPr>
                <w:rFonts w:ascii="仿宋;CESI仿宋-GB13000" w:hAnsi="仿宋;CESI仿宋-GB13000" w:cs="仿宋;CESI仿宋-GB13000" w:eastAsia="仿宋;CESI仿宋-GB13000"/>
                <w:sz w:val="28"/>
                <w:szCs w:val="28"/>
              </w:rPr>
              <w:t>（</w:t>
            </w:r>
            <w:r>
              <w:rPr>
                <w:rFonts w:eastAsia="仿宋;CESI仿宋-GB13000" w:cs="仿宋;CESI仿宋-GB13000" w:ascii="仿宋;CESI仿宋-GB13000" w:hAnsi="仿宋;CESI仿宋-GB13000"/>
                <w:sz w:val="28"/>
                <w:szCs w:val="28"/>
              </w:rPr>
              <w:t>1</w:t>
            </w:r>
            <w:r>
              <w:rPr>
                <w:rFonts w:ascii="仿宋;CESI仿宋-GB13000" w:hAnsi="仿宋;CESI仿宋-GB13000" w:cs="仿宋;CESI仿宋-GB13000" w:eastAsia="仿宋;CESI仿宋-GB13000"/>
                <w:sz w:val="28"/>
                <w:szCs w:val="28"/>
              </w:rPr>
              <w:t>）图片包括全部包装可视面的平面图和可体现产品外观的立体展示图，图片应当完整、清晰。平面图应当容易辨别所有标注内容；无法清晰显示所有标注内容的，还应当提交局部放大图或者产品包装设计图；</w:t>
            </w:r>
          </w:p>
          <w:p>
            <w:pPr>
              <w:pStyle w:val="ListParagraph"/>
              <w:overflowPunct w:val="false"/>
              <w:snapToGrid w:val="false"/>
              <w:spacing w:lineRule="exact" w:line="400"/>
              <w:ind w:hanging="0"/>
              <w:jc w:val="left"/>
              <w:rPr>
                <w:rFonts w:ascii="仿宋;CESI仿宋-GB13000" w:hAnsi="仿宋;CESI仿宋-GB13000" w:eastAsia="仿宋;CESI仿宋-GB13000" w:cs="仿宋;CESI仿宋-GB13000"/>
                <w:sz w:val="28"/>
                <w:szCs w:val="28"/>
              </w:rPr>
            </w:pPr>
            <w:r>
              <w:rPr>
                <w:rFonts w:ascii="仿宋;CESI仿宋-GB13000" w:hAnsi="仿宋;CESI仿宋-GB13000" w:cs="仿宋;CESI仿宋-GB13000" w:eastAsia="仿宋;CESI仿宋-GB13000"/>
                <w:sz w:val="28"/>
                <w:szCs w:val="28"/>
              </w:rPr>
              <w:t>（</w:t>
            </w:r>
            <w:r>
              <w:rPr>
                <w:rFonts w:eastAsia="仿宋;CESI仿宋-GB13000" w:cs="仿宋;CESI仿宋-GB13000" w:ascii="仿宋;CESI仿宋-GB13000" w:hAnsi="仿宋;CESI仿宋-GB13000"/>
                <w:sz w:val="28"/>
                <w:szCs w:val="28"/>
              </w:rPr>
              <w:t>2</w:t>
            </w:r>
            <w:r>
              <w:rPr>
                <w:rFonts w:ascii="仿宋;CESI仿宋-GB13000" w:hAnsi="仿宋;CESI仿宋-GB13000" w:cs="仿宋;CESI仿宋-GB13000" w:eastAsia="仿宋;CESI仿宋-GB13000"/>
                <w:sz w:val="28"/>
                <w:szCs w:val="28"/>
              </w:rPr>
              <w:t>）产品有外包装的，应当上传产品外包装和直接接触内容物的容器（含产品名称、使用期限）平面图和立体图。</w:t>
            </w:r>
          </w:p>
          <w:p>
            <w:pPr>
              <w:pStyle w:val="ListParagraph"/>
              <w:overflowPunct w:val="false"/>
              <w:snapToGrid w:val="false"/>
              <w:spacing w:lineRule="exact" w:line="400"/>
              <w:ind w:hanging="0"/>
              <w:jc w:val="left"/>
              <w:rPr>
                <w:rFonts w:ascii="仿宋;CESI仿宋-GB13000" w:hAnsi="仿宋;CESI仿宋-GB13000" w:eastAsia="仿宋;CESI仿宋-GB13000" w:cs="仿宋;CESI仿宋-GB13000"/>
                <w:sz w:val="28"/>
                <w:szCs w:val="28"/>
              </w:rPr>
            </w:pPr>
            <w:r>
              <w:rPr>
                <w:rFonts w:ascii="仿宋;CESI仿宋-GB13000" w:hAnsi="仿宋;CESI仿宋-GB13000" w:cs="仿宋;CESI仿宋-GB13000" w:eastAsia="仿宋;CESI仿宋-GB13000"/>
                <w:sz w:val="28"/>
                <w:szCs w:val="28"/>
              </w:rPr>
              <w:t>（</w:t>
            </w:r>
            <w:r>
              <w:rPr>
                <w:rFonts w:eastAsia="仿宋;CESI仿宋-GB13000" w:cs="仿宋;CESI仿宋-GB13000" w:ascii="仿宋;CESI仿宋-GB13000" w:hAnsi="仿宋;CESI仿宋-GB13000"/>
                <w:sz w:val="28"/>
                <w:szCs w:val="28"/>
              </w:rPr>
              <w:t>3</w:t>
            </w:r>
            <w:r>
              <w:rPr>
                <w:rFonts w:ascii="仿宋;CESI仿宋-GB13000" w:hAnsi="仿宋;CESI仿宋-GB13000" w:cs="仿宋;CESI仿宋-GB13000" w:eastAsia="仿宋;CESI仿宋-GB13000"/>
                <w:sz w:val="28"/>
                <w:szCs w:val="28"/>
              </w:rPr>
              <w:t>）上传图片的标签内容（含文字、图案）和说明书内容不得超出产品标签样稿载明的内容。</w:t>
            </w:r>
          </w:p>
          <w:p>
            <w:pPr>
              <w:pStyle w:val="ListParagraph"/>
              <w:overflowPunct w:val="false"/>
              <w:snapToGrid w:val="false"/>
              <w:spacing w:lineRule="exact" w:line="400"/>
              <w:ind w:hanging="0"/>
              <w:jc w:val="left"/>
              <w:rPr>
                <w:rFonts w:ascii="仿宋;CESI仿宋-GB13000" w:hAnsi="仿宋;CESI仿宋-GB13000" w:eastAsia="仿宋;CESI仿宋-GB13000" w:cs="仿宋;CESI仿宋-GB13000"/>
                <w:sz w:val="28"/>
                <w:szCs w:val="28"/>
              </w:rPr>
            </w:pPr>
            <w:r>
              <w:rPr>
                <w:rFonts w:ascii="仿宋;CESI仿宋-GB13000" w:hAnsi="仿宋;CESI仿宋-GB13000" w:cs="仿宋;CESI仿宋-GB13000" w:eastAsia="仿宋;CESI仿宋-GB13000"/>
                <w:sz w:val="28"/>
                <w:szCs w:val="28"/>
              </w:rPr>
              <w:t>（</w:t>
            </w:r>
            <w:r>
              <w:rPr>
                <w:rFonts w:eastAsia="仿宋;CESI仿宋-GB13000" w:cs="仿宋;CESI仿宋-GB13000" w:ascii="仿宋;CESI仿宋-GB13000" w:hAnsi="仿宋;CESI仿宋-GB13000"/>
                <w:sz w:val="28"/>
                <w:szCs w:val="28"/>
              </w:rPr>
              <w:t>4</w:t>
            </w:r>
            <w:r>
              <w:rPr>
                <w:rFonts w:ascii="仿宋;CESI仿宋-GB13000" w:hAnsi="仿宋;CESI仿宋-GB13000" w:cs="仿宋;CESI仿宋-GB13000" w:eastAsia="仿宋;CESI仿宋-GB13000"/>
                <w:sz w:val="28"/>
                <w:szCs w:val="28"/>
              </w:rPr>
              <w:t>）使用电子标签的，应当提交电子标签内容。销售包装上的图码应当是注册备案信息服务平台生成的预置图码；不得包含标签尺寸阴线图。</w:t>
            </w:r>
          </w:p>
        </w:tc>
        <w:tc>
          <w:tcPr>
            <w:tcW w:w="2378"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520"/>
              <w:jc w:val="center"/>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t>□</w:t>
            </w:r>
            <w:r>
              <w:rPr>
                <w:rFonts w:ascii="仿宋_GB2312;方正仿宋_GBK" w:hAnsi="仿宋_GB2312;方正仿宋_GBK" w:cs="仿宋_GB2312;方正仿宋_GBK" w:eastAsia="仿宋_GB2312;方正仿宋_GBK"/>
                <w:sz w:val="28"/>
                <w:szCs w:val="28"/>
              </w:rPr>
              <w:t>符合 □不符合</w:t>
            </w:r>
          </w:p>
        </w:tc>
        <w:tc>
          <w:tcPr>
            <w:tcW w:w="85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360"/>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r>
          </w:p>
        </w:tc>
      </w:tr>
      <w:tr>
        <w:trPr>
          <w:trHeight w:val="90" w:hRule="atLeast"/>
        </w:trPr>
        <w:tc>
          <w:tcPr>
            <w:tcW w:w="79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Arial;DejaVu Sans" w:hAnsi="Arial;DejaVu Sans" w:eastAsia="方正仿宋_GB2312;方正仿宋_GBK" w:cs="仿宋_GB2312;方正仿宋_GBK"/>
                <w:sz w:val="28"/>
                <w:szCs w:val="28"/>
              </w:rPr>
            </w:pPr>
            <w:r>
              <w:rPr>
                <w:rFonts w:eastAsia="方正仿宋_GB2312;方正仿宋_GBK" w:cs="仿宋_GB2312;方正仿宋_GBK" w:ascii="Arial;DejaVu Sans" w:hAnsi="Arial;DejaVu Sans"/>
                <w:sz w:val="28"/>
                <w:szCs w:val="28"/>
              </w:rPr>
            </w:r>
          </w:p>
        </w:tc>
        <w:tc>
          <w:tcPr>
            <w:tcW w:w="223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Arial;DejaVu Sans" w:hAnsi="Arial;DejaVu Sans" w:eastAsia="方正仿宋_GB2312;方正仿宋_GBK" w:cs="仿宋_GB2312;方正仿宋_GBK"/>
                <w:sz w:val="28"/>
                <w:szCs w:val="28"/>
              </w:rPr>
            </w:pPr>
            <w:r>
              <w:rPr>
                <w:rFonts w:eastAsia="方正仿宋_GB2312;方正仿宋_GBK" w:cs="仿宋_GB2312;方正仿宋_GBK" w:ascii="Arial;DejaVu Sans" w:hAnsi="Arial;DejaVu Sans"/>
                <w:sz w:val="28"/>
                <w:szCs w:val="28"/>
              </w:rPr>
            </w:r>
          </w:p>
        </w:tc>
        <w:tc>
          <w:tcPr>
            <w:tcW w:w="15026" w:type="dxa"/>
            <w:tcBorders>
              <w:top w:val="single" w:sz="4" w:space="0" w:color="000000"/>
              <w:left w:val="single" w:sz="4" w:space="0" w:color="000000"/>
              <w:bottom w:val="single" w:sz="4" w:space="0" w:color="000000"/>
              <w:right w:val="single" w:sz="4" w:space="0" w:color="000000"/>
            </w:tcBorders>
            <w:vAlign w:val="center"/>
          </w:tcPr>
          <w:p>
            <w:pPr>
              <w:pStyle w:val="ListParagraph"/>
              <w:overflowPunct w:val="false"/>
              <w:snapToGrid w:val="false"/>
              <w:spacing w:lineRule="exact" w:line="400"/>
              <w:ind w:hanging="0"/>
              <w:jc w:val="left"/>
              <w:rPr>
                <w:rFonts w:ascii="仿宋;CESI仿宋-GB13000" w:hAnsi="仿宋;CESI仿宋-GB13000" w:eastAsia="仿宋;CESI仿宋-GB13000" w:cs="仿宋;CESI仿宋-GB13000"/>
                <w:sz w:val="28"/>
                <w:szCs w:val="28"/>
              </w:rPr>
            </w:pPr>
            <w:r>
              <w:rPr>
                <w:rFonts w:eastAsia="仿宋;CESI仿宋-GB13000" w:cs="仿宋;CESI仿宋-GB13000" w:ascii="仿宋;CESI仿宋-GB13000" w:hAnsi="仿宋;CESI仿宋-GB13000"/>
                <w:sz w:val="28"/>
                <w:szCs w:val="28"/>
              </w:rPr>
              <w:t>9.</w:t>
            </w:r>
            <w:r>
              <w:rPr>
                <w:rFonts w:ascii="仿宋;CESI仿宋-GB13000" w:hAnsi="仿宋;CESI仿宋-GB13000" w:cs="仿宋;CESI仿宋-GB13000" w:eastAsia="仿宋;CESI仿宋-GB13000"/>
                <w:sz w:val="28"/>
                <w:szCs w:val="28"/>
              </w:rPr>
              <w:t>存在多种销售包装的，应当提交所有的销售包装的标签图片符合以下一种或多种情形的，提交其中一种销售包装的标签图片，其他销售包装的标签图片可不重复上传：</w:t>
            </w:r>
          </w:p>
          <w:p>
            <w:pPr>
              <w:pStyle w:val="ListParagraph"/>
              <w:overflowPunct w:val="false"/>
              <w:snapToGrid w:val="false"/>
              <w:spacing w:lineRule="exact" w:line="400"/>
              <w:ind w:hanging="0"/>
              <w:jc w:val="left"/>
              <w:rPr>
                <w:rFonts w:ascii="仿宋;CESI仿宋-GB13000" w:hAnsi="仿宋;CESI仿宋-GB13000" w:eastAsia="仿宋;CESI仿宋-GB13000" w:cs="仿宋;CESI仿宋-GB13000"/>
                <w:sz w:val="28"/>
                <w:szCs w:val="28"/>
              </w:rPr>
            </w:pPr>
            <w:r>
              <w:rPr>
                <w:rFonts w:ascii="仿宋;CESI仿宋-GB13000" w:hAnsi="仿宋;CESI仿宋-GB13000" w:cs="仿宋;CESI仿宋-GB13000" w:eastAsia="仿宋;CESI仿宋-GB13000"/>
                <w:sz w:val="28"/>
                <w:szCs w:val="28"/>
                <w:lang w:eastAsia="zh-CN"/>
              </w:rPr>
              <w:t>（</w:t>
            </w:r>
            <w:r>
              <w:rPr>
                <w:rFonts w:eastAsia="仿宋;CESI仿宋-GB13000" w:cs="仿宋;CESI仿宋-GB13000" w:ascii="仿宋;CESI仿宋-GB13000" w:hAnsi="仿宋;CESI仿宋-GB13000"/>
                <w:sz w:val="28"/>
                <w:szCs w:val="28"/>
                <w:lang w:val="en-US" w:eastAsia="zh-CN"/>
              </w:rPr>
              <w:t>1</w:t>
            </w:r>
            <w:r>
              <w:rPr>
                <w:rFonts w:ascii="仿宋;CESI仿宋-GB13000" w:hAnsi="仿宋;CESI仿宋-GB13000" w:cs="仿宋;CESI仿宋-GB13000" w:eastAsia="仿宋;CESI仿宋-GB13000"/>
                <w:sz w:val="28"/>
                <w:szCs w:val="28"/>
                <w:lang w:eastAsia="zh-CN"/>
              </w:rPr>
              <w:t>）</w:t>
            </w:r>
            <w:r>
              <w:rPr>
                <w:rFonts w:ascii="仿宋;CESI仿宋-GB13000" w:hAnsi="仿宋;CESI仿宋-GB13000" w:cs="仿宋;CESI仿宋-GB13000" w:eastAsia="仿宋;CESI仿宋-GB13000"/>
                <w:sz w:val="28"/>
                <w:szCs w:val="28"/>
              </w:rPr>
              <w:t>仅净含量规格不同的；</w:t>
            </w:r>
          </w:p>
          <w:p>
            <w:pPr>
              <w:pStyle w:val="ListParagraph"/>
              <w:overflowPunct w:val="false"/>
              <w:snapToGrid w:val="false"/>
              <w:spacing w:lineRule="exact" w:line="400"/>
              <w:ind w:hanging="0"/>
              <w:jc w:val="left"/>
              <w:rPr>
                <w:rFonts w:ascii="仿宋;CESI仿宋-GB13000" w:hAnsi="仿宋;CESI仿宋-GB13000" w:eastAsia="仿宋;CESI仿宋-GB13000" w:cs="仿宋;CESI仿宋-GB13000"/>
                <w:sz w:val="28"/>
                <w:szCs w:val="28"/>
              </w:rPr>
            </w:pPr>
            <w:r>
              <w:rPr>
                <w:rFonts w:ascii="仿宋;CESI仿宋-GB13000" w:hAnsi="仿宋;CESI仿宋-GB13000" w:cs="仿宋;CESI仿宋-GB13000" w:eastAsia="仿宋;CESI仿宋-GB13000"/>
                <w:sz w:val="28"/>
                <w:szCs w:val="28"/>
              </w:rPr>
              <w:t>（</w:t>
            </w:r>
            <w:r>
              <w:rPr>
                <w:rFonts w:eastAsia="仿宋;CESI仿宋-GB13000" w:cs="仿宋;CESI仿宋-GB13000" w:ascii="仿宋;CESI仿宋-GB13000" w:hAnsi="仿宋;CESI仿宋-GB13000"/>
                <w:sz w:val="28"/>
                <w:szCs w:val="28"/>
              </w:rPr>
              <w:t>2</w:t>
            </w:r>
            <w:r>
              <w:rPr>
                <w:rFonts w:ascii="仿宋;CESI仿宋-GB13000" w:hAnsi="仿宋;CESI仿宋-GB13000" w:cs="仿宋;CESI仿宋-GB13000" w:eastAsia="仿宋;CESI仿宋-GB13000"/>
                <w:sz w:val="28"/>
                <w:szCs w:val="28"/>
              </w:rPr>
              <w:t xml:space="preserve">）仅在已上传销售包装上附加标注销售渠道、促销、节日专款、赠品等信息的； </w:t>
            </w:r>
          </w:p>
          <w:p>
            <w:pPr>
              <w:pStyle w:val="ListParagraph"/>
              <w:overflowPunct w:val="false"/>
              <w:snapToGrid w:val="false"/>
              <w:spacing w:lineRule="exact" w:line="400"/>
              <w:ind w:hanging="0"/>
              <w:jc w:val="left"/>
              <w:rPr>
                <w:rFonts w:ascii="仿宋;CESI仿宋-GB13000" w:hAnsi="仿宋;CESI仿宋-GB13000" w:eastAsia="仿宋;CESI仿宋-GB13000" w:cs="仿宋;CESI仿宋-GB13000"/>
                <w:sz w:val="28"/>
                <w:szCs w:val="28"/>
              </w:rPr>
            </w:pPr>
            <w:r>
              <w:rPr>
                <w:rFonts w:ascii="仿宋;CESI仿宋-GB13000" w:hAnsi="仿宋;CESI仿宋-GB13000" w:cs="仿宋;CESI仿宋-GB13000" w:eastAsia="仿宋;CESI仿宋-GB13000"/>
                <w:sz w:val="28"/>
                <w:szCs w:val="28"/>
              </w:rPr>
              <w:t>（</w:t>
            </w:r>
            <w:r>
              <w:rPr>
                <w:rFonts w:eastAsia="仿宋;CESI仿宋-GB13000" w:cs="仿宋;CESI仿宋-GB13000" w:ascii="仿宋;CESI仿宋-GB13000" w:hAnsi="仿宋;CESI仿宋-GB13000"/>
                <w:sz w:val="28"/>
                <w:szCs w:val="28"/>
              </w:rPr>
              <w:t>3</w:t>
            </w:r>
            <w:r>
              <w:rPr>
                <w:rFonts w:ascii="仿宋;CESI仿宋-GB13000" w:hAnsi="仿宋;CESI仿宋-GB13000" w:cs="仿宋;CESI仿宋-GB13000" w:eastAsia="仿宋;CESI仿宋-GB13000"/>
                <w:sz w:val="28"/>
                <w:szCs w:val="28"/>
              </w:rPr>
              <w:t>）仅销售包装颜色存在差异的；</w:t>
            </w:r>
          </w:p>
          <w:p>
            <w:pPr>
              <w:pStyle w:val="ListParagraph"/>
              <w:overflowPunct w:val="false"/>
              <w:snapToGrid w:val="false"/>
              <w:spacing w:lineRule="exact" w:line="400"/>
              <w:ind w:hanging="0"/>
              <w:jc w:val="left"/>
              <w:rPr>
                <w:rFonts w:ascii="仿宋;CESI仿宋-GB13000" w:hAnsi="仿宋;CESI仿宋-GB13000" w:eastAsia="仿宋;CESI仿宋-GB13000" w:cs="仿宋;CESI仿宋-GB13000"/>
                <w:sz w:val="28"/>
                <w:szCs w:val="28"/>
              </w:rPr>
            </w:pPr>
            <w:r>
              <w:rPr>
                <w:rFonts w:ascii="仿宋;CESI仿宋-GB13000" w:hAnsi="仿宋;CESI仿宋-GB13000" w:cs="仿宋;CESI仿宋-GB13000" w:eastAsia="仿宋;CESI仿宋-GB13000"/>
                <w:sz w:val="28"/>
                <w:szCs w:val="28"/>
              </w:rPr>
              <w:t>（</w:t>
            </w:r>
            <w:r>
              <w:rPr>
                <w:rFonts w:eastAsia="仿宋;CESI仿宋-GB13000" w:cs="仿宋;CESI仿宋-GB13000" w:ascii="仿宋;CESI仿宋-GB13000" w:hAnsi="仿宋;CESI仿宋-GB13000"/>
                <w:sz w:val="28"/>
                <w:szCs w:val="28"/>
              </w:rPr>
              <w:t>4</w:t>
            </w:r>
            <w:r>
              <w:rPr>
                <w:rFonts w:ascii="仿宋;CESI仿宋-GB13000" w:hAnsi="仿宋;CESI仿宋-GB13000" w:cs="仿宋;CESI仿宋-GB13000" w:eastAsia="仿宋;CESI仿宋-GB13000"/>
                <w:sz w:val="28"/>
                <w:szCs w:val="28"/>
              </w:rPr>
              <w:t>）已注册或者备案产品以套盒、礼盒等形式组合销售，组合过程不接触产品内容物，除增加组合包装产品名称外，其他标注的内容未超出每个产品标签内容的；</w:t>
            </w:r>
          </w:p>
          <w:p>
            <w:pPr>
              <w:pStyle w:val="ListParagraph"/>
              <w:overflowPunct w:val="false"/>
              <w:snapToGrid w:val="false"/>
              <w:spacing w:lineRule="exact" w:line="400"/>
              <w:ind w:hanging="0"/>
              <w:jc w:val="left"/>
              <w:rPr>
                <w:rFonts w:ascii="仿宋;CESI仿宋-GB13000" w:hAnsi="仿宋;CESI仿宋-GB13000" w:eastAsia="仿宋;CESI仿宋-GB13000" w:cs="仿宋;CESI仿宋-GB13000"/>
                <w:sz w:val="28"/>
                <w:szCs w:val="28"/>
              </w:rPr>
            </w:pPr>
            <w:r>
              <w:rPr>
                <w:rFonts w:ascii="仿宋;CESI仿宋-GB13000" w:hAnsi="仿宋;CESI仿宋-GB13000" w:cs="仿宋;CESI仿宋-GB13000" w:eastAsia="仿宋;CESI仿宋-GB13000"/>
                <w:sz w:val="28"/>
                <w:szCs w:val="28"/>
              </w:rPr>
              <w:t>（</w:t>
            </w:r>
            <w:r>
              <w:rPr>
                <w:rFonts w:eastAsia="仿宋;CESI仿宋-GB13000" w:cs="仿宋;CESI仿宋-GB13000" w:ascii="仿宋;CESI仿宋-GB13000" w:hAnsi="仿宋;CESI仿宋-GB13000"/>
                <w:sz w:val="28"/>
                <w:szCs w:val="28"/>
              </w:rPr>
              <w:t>5</w:t>
            </w:r>
            <w:r>
              <w:rPr>
                <w:rFonts w:ascii="仿宋;CESI仿宋-GB13000" w:hAnsi="仿宋;CESI仿宋-GB13000" w:cs="仿宋;CESI仿宋-GB13000" w:eastAsia="仿宋;CESI仿宋-GB13000"/>
                <w:sz w:val="28"/>
                <w:szCs w:val="28"/>
              </w:rPr>
              <w:t>）通过文字描述能够清楚反映与已上传销售包装差异，并已备注说明的。</w:t>
            </w:r>
          </w:p>
        </w:tc>
        <w:tc>
          <w:tcPr>
            <w:tcW w:w="2378"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520"/>
              <w:jc w:val="center"/>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t>□</w:t>
            </w:r>
            <w:r>
              <w:rPr>
                <w:rFonts w:ascii="仿宋_GB2312;方正仿宋_GBK" w:hAnsi="仿宋_GB2312;方正仿宋_GBK" w:cs="仿宋_GB2312;方正仿宋_GBK" w:eastAsia="仿宋_GB2312;方正仿宋_GBK"/>
                <w:sz w:val="28"/>
                <w:szCs w:val="28"/>
              </w:rPr>
              <w:t>符合 □不符合</w:t>
            </w:r>
          </w:p>
        </w:tc>
        <w:tc>
          <w:tcPr>
            <w:tcW w:w="85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360"/>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r>
          </w:p>
        </w:tc>
      </w:tr>
      <w:tr>
        <w:trPr>
          <w:trHeight w:val="695" w:hRule="atLeast"/>
        </w:trPr>
        <w:tc>
          <w:tcPr>
            <w:tcW w:w="79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Arial;DejaVu Sans" w:hAnsi="Arial;DejaVu Sans" w:eastAsia="方正仿宋_GB2312;方正仿宋_GBK" w:cs="仿宋_GB2312;方正仿宋_GBK"/>
                <w:sz w:val="28"/>
                <w:szCs w:val="28"/>
              </w:rPr>
            </w:pPr>
            <w:r>
              <w:rPr>
                <w:rFonts w:eastAsia="方正仿宋_GB2312;方正仿宋_GBK" w:cs="仿宋_GB2312;方正仿宋_GBK" w:ascii="Arial;DejaVu Sans" w:hAnsi="Arial;DejaVu Sans"/>
                <w:sz w:val="28"/>
                <w:szCs w:val="28"/>
              </w:rPr>
            </w:r>
          </w:p>
        </w:tc>
        <w:tc>
          <w:tcPr>
            <w:tcW w:w="223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Arial;DejaVu Sans" w:hAnsi="Arial;DejaVu Sans" w:eastAsia="方正仿宋_GB2312;方正仿宋_GBK" w:cs="仿宋_GB2312;方正仿宋_GBK"/>
                <w:sz w:val="28"/>
                <w:szCs w:val="28"/>
              </w:rPr>
            </w:pPr>
            <w:r>
              <w:rPr>
                <w:rFonts w:eastAsia="方正仿宋_GB2312;方正仿宋_GBK" w:cs="仿宋_GB2312;方正仿宋_GBK" w:ascii="Arial;DejaVu Sans" w:hAnsi="Arial;DejaVu Sans"/>
                <w:sz w:val="28"/>
                <w:szCs w:val="28"/>
              </w:rPr>
            </w:r>
          </w:p>
        </w:tc>
        <w:tc>
          <w:tcPr>
            <w:tcW w:w="15026" w:type="dxa"/>
            <w:tcBorders>
              <w:top w:val="single" w:sz="4" w:space="0" w:color="000000"/>
              <w:left w:val="single" w:sz="4" w:space="0" w:color="000000"/>
              <w:bottom w:val="single" w:sz="4" w:space="0" w:color="000000"/>
              <w:right w:val="single" w:sz="4" w:space="0" w:color="000000"/>
            </w:tcBorders>
            <w:vAlign w:val="center"/>
          </w:tcPr>
          <w:p>
            <w:pPr>
              <w:pStyle w:val="ListParagraph"/>
              <w:overflowPunct w:val="false"/>
              <w:spacing w:lineRule="exact" w:line="400"/>
              <w:ind w:hanging="0"/>
              <w:jc w:val="left"/>
              <w:rPr>
                <w:rFonts w:ascii="仿宋;CESI仿宋-GB13000" w:hAnsi="仿宋;CESI仿宋-GB13000" w:eastAsia="仿宋;CESI仿宋-GB13000" w:cs="仿宋;CESI仿宋-GB13000"/>
                <w:sz w:val="28"/>
                <w:szCs w:val="28"/>
              </w:rPr>
            </w:pPr>
            <w:r>
              <w:rPr>
                <w:rFonts w:eastAsia="仿宋;CESI仿宋-GB13000" w:cs="仿宋;CESI仿宋-GB13000" w:ascii="仿宋;CESI仿宋-GB13000" w:hAnsi="仿宋;CESI仿宋-GB13000"/>
                <w:sz w:val="28"/>
                <w:szCs w:val="28"/>
              </w:rPr>
              <w:t>10.</w:t>
            </w:r>
            <w:r>
              <w:rPr>
                <w:rFonts w:ascii="仿宋;CESI仿宋-GB13000" w:hAnsi="仿宋;CESI仿宋-GB13000" w:cs="仿宋;CESI仿宋-GB13000" w:eastAsia="仿宋;CESI仿宋-GB13000"/>
                <w:sz w:val="28"/>
                <w:szCs w:val="28"/>
              </w:rPr>
              <w:t>涉及以下内容的，应当在销售包装上至少一个同一可视面上使用规范汉字说明相应的含义：</w:t>
            </w:r>
          </w:p>
          <w:p>
            <w:pPr>
              <w:pStyle w:val="ListParagraph"/>
              <w:overflowPunct w:val="false"/>
              <w:spacing w:lineRule="exact" w:line="400"/>
              <w:ind w:hanging="0"/>
              <w:jc w:val="left"/>
              <w:rPr>
                <w:rFonts w:ascii="仿宋;CESI仿宋-GB13000" w:hAnsi="仿宋;CESI仿宋-GB13000" w:eastAsia="仿宋;CESI仿宋-GB13000" w:cs="仿宋;CESI仿宋-GB13000"/>
                <w:sz w:val="28"/>
                <w:szCs w:val="28"/>
              </w:rPr>
            </w:pPr>
            <w:r>
              <w:rPr>
                <w:rFonts w:ascii="仿宋;CESI仿宋-GB13000" w:hAnsi="仿宋;CESI仿宋-GB13000" w:cs="仿宋;CESI仿宋-GB13000" w:eastAsia="仿宋;CESI仿宋-GB13000"/>
                <w:sz w:val="28"/>
                <w:szCs w:val="28"/>
              </w:rPr>
              <w:t>（</w:t>
            </w:r>
            <w:r>
              <w:rPr>
                <w:rFonts w:eastAsia="仿宋;CESI仿宋-GB13000" w:cs="仿宋;CESI仿宋-GB13000" w:ascii="仿宋;CESI仿宋-GB13000" w:hAnsi="仿宋;CESI仿宋-GB13000"/>
                <w:sz w:val="28"/>
                <w:szCs w:val="28"/>
              </w:rPr>
              <w:t>1</w:t>
            </w:r>
            <w:r>
              <w:rPr>
                <w:rFonts w:ascii="仿宋;CESI仿宋-GB13000" w:hAnsi="仿宋;CESI仿宋-GB13000" w:cs="仿宋;CESI仿宋-GB13000" w:eastAsia="仿宋;CESI仿宋-GB13000"/>
                <w:sz w:val="28"/>
                <w:szCs w:val="28"/>
              </w:rPr>
              <w:t>）中文标签应当使用规范汉字，使用其他文字或者符号的，应当在产品销售包装可视面使用规范汉字对应解释说明，网址、境外企业的名称和地址以及约定俗成的专业术语等必须使用其他文字的除外。</w:t>
            </w:r>
          </w:p>
          <w:p>
            <w:pPr>
              <w:pStyle w:val="ListParagraph"/>
              <w:overflowPunct w:val="false"/>
              <w:spacing w:lineRule="exact" w:line="400"/>
              <w:ind w:hanging="0"/>
              <w:jc w:val="left"/>
              <w:rPr>
                <w:rFonts w:ascii="仿宋;CESI仿宋-GB13000" w:hAnsi="仿宋;CESI仿宋-GB13000" w:eastAsia="仿宋;CESI仿宋-GB13000" w:cs="仿宋;CESI仿宋-GB13000"/>
                <w:sz w:val="28"/>
                <w:szCs w:val="28"/>
              </w:rPr>
            </w:pPr>
            <w:r>
              <w:rPr>
                <w:rFonts w:ascii="仿宋;CESI仿宋-GB13000" w:hAnsi="仿宋;CESI仿宋-GB13000" w:cs="仿宋;CESI仿宋-GB13000" w:eastAsia="仿宋;CESI仿宋-GB13000"/>
                <w:sz w:val="28"/>
                <w:szCs w:val="28"/>
              </w:rPr>
              <w:t>（</w:t>
            </w:r>
            <w:r>
              <w:rPr>
                <w:rFonts w:eastAsia="仿宋;CESI仿宋-GB13000" w:cs="仿宋;CESI仿宋-GB13000" w:ascii="仿宋;CESI仿宋-GB13000" w:hAnsi="仿宋;CESI仿宋-GB13000"/>
                <w:sz w:val="28"/>
                <w:szCs w:val="28"/>
              </w:rPr>
              <w:t>2</w:t>
            </w:r>
            <w:r>
              <w:rPr>
                <w:rFonts w:ascii="仿宋;CESI仿宋-GB13000" w:hAnsi="仿宋;CESI仿宋-GB13000" w:cs="仿宋;CESI仿宋-GB13000" w:eastAsia="仿宋;CESI仿宋-GB13000"/>
                <w:sz w:val="28"/>
                <w:szCs w:val="28"/>
              </w:rPr>
              <w:t>）商标名明示或暗示某类原料，且产品配方中含有该类原料的，应当在销售包装可视面对其使用目的进行说明；产品配方不含有该类原料的，应当在销售包装可视面明确标注产品不含该类原料，相关用语仅作商标名使用。</w:t>
            </w:r>
          </w:p>
          <w:p>
            <w:pPr>
              <w:pStyle w:val="ListParagraph"/>
              <w:overflowPunct w:val="false"/>
              <w:spacing w:lineRule="exact" w:line="400"/>
              <w:ind w:hanging="0"/>
              <w:jc w:val="left"/>
              <w:rPr>
                <w:rFonts w:ascii="仿宋;CESI仿宋-GB13000" w:hAnsi="仿宋;CESI仿宋-GB13000" w:eastAsia="仿宋;CESI仿宋-GB13000" w:cs="仿宋;CESI仿宋-GB13000"/>
                <w:sz w:val="28"/>
                <w:szCs w:val="28"/>
              </w:rPr>
            </w:pPr>
            <w:r>
              <w:rPr>
                <w:rFonts w:ascii="仿宋;CESI仿宋-GB13000" w:hAnsi="仿宋;CESI仿宋-GB13000" w:cs="仿宋;CESI仿宋-GB13000" w:eastAsia="仿宋;CESI仿宋-GB13000"/>
                <w:sz w:val="28"/>
                <w:szCs w:val="28"/>
              </w:rPr>
              <w:t>（</w:t>
            </w:r>
            <w:r>
              <w:rPr>
                <w:rFonts w:eastAsia="仿宋;CESI仿宋-GB13000" w:cs="仿宋;CESI仿宋-GB13000" w:ascii="仿宋;CESI仿宋-GB13000" w:hAnsi="仿宋;CESI仿宋-GB13000"/>
                <w:sz w:val="28"/>
                <w:szCs w:val="28"/>
              </w:rPr>
              <w:t>3</w:t>
            </w:r>
            <w:r>
              <w:rPr>
                <w:rFonts w:ascii="仿宋;CESI仿宋-GB13000" w:hAnsi="仿宋;CESI仿宋-GB13000" w:cs="仿宋;CESI仿宋-GB13000" w:eastAsia="仿宋;CESI仿宋-GB13000"/>
                <w:sz w:val="28"/>
                <w:szCs w:val="28"/>
              </w:rPr>
              <w:t>）使用特殊原料的按有关规定应当标注的内容。</w:t>
            </w:r>
          </w:p>
        </w:tc>
        <w:tc>
          <w:tcPr>
            <w:tcW w:w="2378"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520"/>
              <w:jc w:val="center"/>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t>□</w:t>
            </w:r>
            <w:r>
              <w:rPr>
                <w:rFonts w:ascii="仿宋_GB2312;方正仿宋_GBK" w:hAnsi="仿宋_GB2312;方正仿宋_GBK" w:cs="仿宋_GB2312;方正仿宋_GBK" w:eastAsia="仿宋_GB2312;方正仿宋_GBK"/>
                <w:sz w:val="28"/>
                <w:szCs w:val="28"/>
              </w:rPr>
              <w:t>符合 □不符合</w:t>
            </w:r>
          </w:p>
        </w:tc>
        <w:tc>
          <w:tcPr>
            <w:tcW w:w="85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360"/>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r>
          </w:p>
        </w:tc>
      </w:tr>
      <w:tr>
        <w:trPr>
          <w:trHeight w:val="857" w:hRule="atLeast"/>
        </w:trPr>
        <w:tc>
          <w:tcPr>
            <w:tcW w:w="79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Arial;DejaVu Sans" w:hAnsi="Arial;DejaVu Sans" w:eastAsia="方正仿宋_GB2312;方正仿宋_GBK" w:cs="仿宋_GB2312;方正仿宋_GBK"/>
                <w:sz w:val="28"/>
                <w:szCs w:val="28"/>
              </w:rPr>
            </w:pPr>
            <w:r>
              <w:rPr>
                <w:rFonts w:eastAsia="方正仿宋_GB2312;方正仿宋_GBK" w:cs="仿宋_GB2312;方正仿宋_GBK" w:ascii="Arial;DejaVu Sans" w:hAnsi="Arial;DejaVu Sans"/>
                <w:sz w:val="28"/>
                <w:szCs w:val="28"/>
              </w:rPr>
            </w:r>
          </w:p>
        </w:tc>
        <w:tc>
          <w:tcPr>
            <w:tcW w:w="223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Arial;DejaVu Sans" w:hAnsi="Arial;DejaVu Sans" w:eastAsia="方正仿宋_GB2312;方正仿宋_GBK" w:cs="仿宋_GB2312;方正仿宋_GBK"/>
                <w:sz w:val="28"/>
                <w:szCs w:val="28"/>
              </w:rPr>
            </w:pPr>
            <w:r>
              <w:rPr>
                <w:rFonts w:eastAsia="方正仿宋_GB2312;方正仿宋_GBK" w:cs="仿宋_GB2312;方正仿宋_GBK" w:ascii="Arial;DejaVu Sans" w:hAnsi="Arial;DejaVu Sans"/>
                <w:sz w:val="28"/>
                <w:szCs w:val="28"/>
              </w:rPr>
            </w:r>
          </w:p>
        </w:tc>
        <w:tc>
          <w:tcPr>
            <w:tcW w:w="15026" w:type="dxa"/>
            <w:tcBorders>
              <w:top w:val="single" w:sz="4" w:space="0" w:color="000000"/>
              <w:left w:val="single" w:sz="4" w:space="0" w:color="000000"/>
              <w:bottom w:val="single" w:sz="4" w:space="0" w:color="000000"/>
              <w:right w:val="single" w:sz="4" w:space="0" w:color="000000"/>
            </w:tcBorders>
            <w:vAlign w:val="center"/>
          </w:tcPr>
          <w:p>
            <w:pPr>
              <w:pStyle w:val="ListParagraph"/>
              <w:overflowPunct w:val="false"/>
              <w:snapToGrid w:val="false"/>
              <w:spacing w:lineRule="exact" w:line="400"/>
              <w:ind w:hanging="0"/>
              <w:jc w:val="left"/>
              <w:rPr>
                <w:rFonts w:ascii="仿宋;CESI仿宋-GB13000" w:hAnsi="仿宋;CESI仿宋-GB13000" w:eastAsia="仿宋;CESI仿宋-GB13000" w:cs="仿宋;CESI仿宋-GB13000"/>
                <w:sz w:val="28"/>
                <w:szCs w:val="28"/>
              </w:rPr>
            </w:pPr>
            <w:r>
              <w:rPr>
                <w:rFonts w:eastAsia="仿宋;CESI仿宋-GB13000" w:cs="仿宋;CESI仿宋-GB13000" w:ascii="仿宋;CESI仿宋-GB13000" w:hAnsi="仿宋;CESI仿宋-GB13000"/>
                <w:sz w:val="28"/>
                <w:szCs w:val="28"/>
              </w:rPr>
              <w:t>11.</w:t>
            </w:r>
            <w:r>
              <w:rPr>
                <w:rFonts w:ascii="仿宋;CESI仿宋-GB13000" w:hAnsi="仿宋;CESI仿宋-GB13000" w:cs="仿宋;CESI仿宋-GB13000" w:eastAsia="仿宋;CESI仿宋-GB13000"/>
                <w:sz w:val="28"/>
                <w:szCs w:val="28"/>
              </w:rPr>
              <w:t>拟专为中国市场设计包装的，应当同时提交产品设计包装</w:t>
            </w:r>
            <w:r>
              <w:rPr>
                <w:rFonts w:eastAsia="仿宋;CESI仿宋-GB13000" w:cs="仿宋;CESI仿宋-GB13000" w:ascii="仿宋;CESI仿宋-GB13000" w:hAnsi="仿宋;CESI仿宋-GB13000"/>
                <w:sz w:val="28"/>
                <w:szCs w:val="28"/>
              </w:rPr>
              <w:t>(</w:t>
            </w:r>
            <w:r>
              <w:rPr>
                <w:rFonts w:ascii="仿宋;CESI仿宋-GB13000" w:hAnsi="仿宋;CESI仿宋-GB13000" w:cs="仿宋;CESI仿宋-GB13000" w:eastAsia="仿宋;CESI仿宋-GB13000"/>
                <w:sz w:val="28"/>
                <w:szCs w:val="28"/>
              </w:rPr>
              <w:t>含产品标签、产品说明书</w:t>
            </w:r>
            <w:r>
              <w:rPr>
                <w:rFonts w:eastAsia="仿宋;CESI仿宋-GB13000" w:cs="仿宋;CESI仿宋-GB13000" w:ascii="仿宋;CESI仿宋-GB13000" w:hAnsi="仿宋;CESI仿宋-GB13000"/>
                <w:sz w:val="28"/>
                <w:szCs w:val="28"/>
              </w:rPr>
              <w:t>)</w:t>
            </w:r>
            <w:r>
              <w:rPr>
                <w:rFonts w:ascii="仿宋;CESI仿宋-GB13000" w:hAnsi="仿宋;CESI仿宋-GB13000" w:cs="仿宋;CESI仿宋-GB13000" w:eastAsia="仿宋;CESI仿宋-GB13000"/>
                <w:sz w:val="28"/>
                <w:szCs w:val="28"/>
              </w:rPr>
              <w:t>：</w:t>
            </w:r>
          </w:p>
          <w:p>
            <w:pPr>
              <w:pStyle w:val="ListParagraph"/>
              <w:overflowPunct w:val="false"/>
              <w:snapToGrid w:val="false"/>
              <w:spacing w:lineRule="exact" w:line="400"/>
              <w:ind w:hanging="0"/>
              <w:jc w:val="left"/>
              <w:rPr>
                <w:rFonts w:ascii="仿宋;CESI仿宋-GB13000" w:hAnsi="仿宋;CESI仿宋-GB13000" w:eastAsia="仿宋;CESI仿宋-GB13000" w:cs="仿宋;CESI仿宋-GB13000"/>
                <w:sz w:val="28"/>
                <w:szCs w:val="28"/>
              </w:rPr>
            </w:pPr>
            <w:r>
              <w:rPr>
                <w:rFonts w:ascii="仿宋;CESI仿宋-GB13000" w:hAnsi="仿宋;CESI仿宋-GB13000" w:cs="仿宋;CESI仿宋-GB13000" w:eastAsia="仿宋;CESI仿宋-GB13000"/>
                <w:sz w:val="28"/>
                <w:szCs w:val="28"/>
              </w:rPr>
              <w:t>（</w:t>
            </w:r>
            <w:r>
              <w:rPr>
                <w:rFonts w:eastAsia="仿宋;CESI仿宋-GB13000" w:cs="仿宋;CESI仿宋-GB13000" w:ascii="仿宋;CESI仿宋-GB13000" w:hAnsi="仿宋;CESI仿宋-GB13000"/>
                <w:sz w:val="28"/>
                <w:szCs w:val="28"/>
              </w:rPr>
              <w:t>1</w:t>
            </w:r>
            <w:r>
              <w:rPr>
                <w:rFonts w:ascii="仿宋;CESI仿宋-GB13000" w:hAnsi="仿宋;CESI仿宋-GB13000" w:cs="仿宋;CESI仿宋-GB13000" w:eastAsia="仿宋;CESI仿宋-GB13000"/>
                <w:sz w:val="28"/>
                <w:szCs w:val="28"/>
              </w:rPr>
              <w:t>）境内生产企业委托境外生产企业生产时，可提交设计包装平面图；</w:t>
            </w:r>
          </w:p>
          <w:p>
            <w:pPr>
              <w:pStyle w:val="ListParagraph"/>
              <w:overflowPunct w:val="false"/>
              <w:snapToGrid w:val="false"/>
              <w:spacing w:lineRule="exact" w:line="400"/>
              <w:ind w:hanging="0"/>
              <w:jc w:val="left"/>
              <w:rPr>
                <w:rFonts w:ascii="仿宋;CESI仿宋-GB13000" w:hAnsi="仿宋;CESI仿宋-GB13000" w:eastAsia="仿宋;CESI仿宋-GB13000" w:cs="仿宋;CESI仿宋-GB13000"/>
                <w:sz w:val="28"/>
                <w:szCs w:val="28"/>
              </w:rPr>
            </w:pPr>
            <w:r>
              <w:rPr>
                <w:rFonts w:ascii="仿宋;CESI仿宋-GB13000" w:hAnsi="仿宋;CESI仿宋-GB13000" w:cs="仿宋;CESI仿宋-GB13000" w:eastAsia="仿宋;CESI仿宋-GB13000"/>
                <w:sz w:val="28"/>
                <w:szCs w:val="28"/>
              </w:rPr>
              <w:t>（</w:t>
            </w:r>
            <w:r>
              <w:rPr>
                <w:rFonts w:eastAsia="仿宋;CESI仿宋-GB13000" w:cs="仿宋;CESI仿宋-GB13000" w:ascii="仿宋;CESI仿宋-GB13000" w:hAnsi="仿宋;CESI仿宋-GB13000"/>
                <w:sz w:val="28"/>
                <w:szCs w:val="28"/>
              </w:rPr>
              <w:t>2</w:t>
            </w:r>
            <w:r>
              <w:rPr>
                <w:rFonts w:ascii="仿宋;CESI仿宋-GB13000" w:hAnsi="仿宋;CESI仿宋-GB13000" w:cs="仿宋;CESI仿宋-GB13000" w:eastAsia="仿宋;CESI仿宋-GB13000"/>
                <w:sz w:val="28"/>
                <w:szCs w:val="28"/>
              </w:rPr>
              <w:t>）设计包装平面图内容可以是外文，或者中文或者中文和相应外文；</w:t>
            </w:r>
          </w:p>
          <w:p>
            <w:pPr>
              <w:pStyle w:val="ListParagraph"/>
              <w:overflowPunct w:val="false"/>
              <w:snapToGrid w:val="false"/>
              <w:spacing w:lineRule="exact" w:line="400"/>
              <w:ind w:hanging="0"/>
              <w:jc w:val="left"/>
              <w:rPr>
                <w:rFonts w:ascii="仿宋;CESI仿宋-GB13000" w:hAnsi="仿宋;CESI仿宋-GB13000" w:eastAsia="仿宋;CESI仿宋-GB13000" w:cs="仿宋;CESI仿宋-GB13000"/>
                <w:sz w:val="28"/>
                <w:szCs w:val="28"/>
              </w:rPr>
            </w:pPr>
            <w:r>
              <w:rPr>
                <w:rFonts w:ascii="仿宋;CESI仿宋-GB13000" w:hAnsi="仿宋;CESI仿宋-GB13000" w:cs="仿宋;CESI仿宋-GB13000" w:eastAsia="仿宋;CESI仿宋-GB13000"/>
                <w:sz w:val="28"/>
                <w:szCs w:val="28"/>
              </w:rPr>
              <w:t>（</w:t>
            </w:r>
            <w:r>
              <w:rPr>
                <w:rFonts w:eastAsia="仿宋;CESI仿宋-GB13000" w:cs="仿宋;CESI仿宋-GB13000" w:ascii="仿宋;CESI仿宋-GB13000" w:hAnsi="仿宋;CESI仿宋-GB13000"/>
                <w:sz w:val="28"/>
                <w:szCs w:val="28"/>
              </w:rPr>
              <w:t>3</w:t>
            </w:r>
            <w:r>
              <w:rPr>
                <w:rFonts w:ascii="仿宋;CESI仿宋-GB13000" w:hAnsi="仿宋;CESI仿宋-GB13000" w:cs="仿宋;CESI仿宋-GB13000" w:eastAsia="仿宋;CESI仿宋-GB13000"/>
                <w:sz w:val="28"/>
                <w:szCs w:val="28"/>
              </w:rPr>
              <w:t>）原包装内容不符合中国法规要求</w:t>
            </w:r>
            <w:r>
              <w:rPr>
                <w:rFonts w:eastAsia="仿宋;CESI仿宋-GB13000" w:cs="仿宋;CESI仿宋-GB13000" w:ascii="仿宋;CESI仿宋-GB13000" w:hAnsi="仿宋;CESI仿宋-GB13000"/>
                <w:sz w:val="28"/>
                <w:szCs w:val="28"/>
              </w:rPr>
              <w:t>(</w:t>
            </w:r>
            <w:r>
              <w:rPr>
                <w:rFonts w:ascii="仿宋;CESI仿宋-GB13000" w:hAnsi="仿宋;CESI仿宋-GB13000" w:cs="仿宋;CESI仿宋-GB13000" w:eastAsia="仿宋;CESI仿宋-GB13000"/>
                <w:sz w:val="28"/>
                <w:szCs w:val="28"/>
              </w:rPr>
              <w:t>如“無添加”</w:t>
            </w:r>
            <w:r>
              <w:rPr>
                <w:rFonts w:eastAsia="仿宋;CESI仿宋-GB13000" w:cs="仿宋;CESI仿宋-GB13000" w:ascii="仿宋;CESI仿宋-GB13000" w:hAnsi="仿宋;CESI仿宋-GB13000"/>
                <w:sz w:val="28"/>
                <w:szCs w:val="28"/>
              </w:rPr>
              <w:t>)</w:t>
            </w:r>
            <w:r>
              <w:rPr>
                <w:rFonts w:ascii="仿宋;CESI仿宋-GB13000" w:hAnsi="仿宋;CESI仿宋-GB13000" w:cs="仿宋;CESI仿宋-GB13000" w:eastAsia="仿宋;CESI仿宋-GB13000"/>
                <w:sz w:val="28"/>
                <w:szCs w:val="28"/>
              </w:rPr>
              <w:t>的，应提供符合中国法规要求的设计包装。</w:t>
            </w:r>
          </w:p>
        </w:tc>
        <w:tc>
          <w:tcPr>
            <w:tcW w:w="2378"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520"/>
              <w:jc w:val="center"/>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t>□</w:t>
            </w:r>
            <w:r>
              <w:rPr>
                <w:rFonts w:ascii="仿宋_GB2312;方正仿宋_GBK" w:hAnsi="仿宋_GB2312;方正仿宋_GBK" w:cs="仿宋_GB2312;方正仿宋_GBK" w:eastAsia="仿宋_GB2312;方正仿宋_GBK"/>
                <w:sz w:val="28"/>
                <w:szCs w:val="28"/>
              </w:rPr>
              <w:t>符合 □不符合</w:t>
            </w:r>
          </w:p>
        </w:tc>
        <w:tc>
          <w:tcPr>
            <w:tcW w:w="85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360"/>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r>
          </w:p>
        </w:tc>
      </w:tr>
      <w:tr>
        <w:trPr>
          <w:trHeight w:val="1330" w:hRule="atLeast"/>
        </w:trPr>
        <w:tc>
          <w:tcPr>
            <w:tcW w:w="79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exact" w:line="360"/>
              <w:jc w:val="center"/>
              <w:rPr>
                <w:rFonts w:ascii="Arial;DejaVu Sans" w:hAnsi="Arial;DejaVu Sans" w:eastAsia="方正仿宋_GB2312;方正仿宋_GBK" w:cs="仿宋_GB2312;方正仿宋_GBK"/>
                <w:kern w:val="2"/>
                <w:sz w:val="28"/>
                <w:szCs w:val="28"/>
                <w:lang w:val="en-US" w:eastAsia="zh-CN" w:bidi="ar-SA"/>
              </w:rPr>
            </w:pPr>
            <w:r>
              <w:rPr>
                <w:rFonts w:eastAsia="方正仿宋_GB2312;方正仿宋_GBK" w:cs="仿宋_GB2312;方正仿宋_GBK" w:ascii="Arial;DejaVu Sans" w:hAnsi="Arial;DejaVu Sans"/>
                <w:sz w:val="28"/>
                <w:szCs w:val="28"/>
                <w:lang w:val="en-US" w:eastAsia="zh-CN"/>
              </w:rPr>
              <w:t>6</w:t>
            </w:r>
          </w:p>
        </w:tc>
        <w:tc>
          <w:tcPr>
            <w:tcW w:w="2239" w:type="dxa"/>
            <w:vMerge w:val="restart"/>
            <w:tcBorders>
              <w:top w:val="single" w:sz="4" w:space="0" w:color="000000"/>
              <w:left w:val="single" w:sz="4" w:space="0" w:color="000000"/>
              <w:bottom w:val="single" w:sz="4" w:space="0" w:color="000000"/>
              <w:right w:val="single" w:sz="4" w:space="0" w:color="000000"/>
            </w:tcBorders>
            <w:vAlign w:val="center"/>
          </w:tcPr>
          <w:p>
            <w:pPr>
              <w:pStyle w:val="ListParagraph"/>
              <w:spacing w:lineRule="exact" w:line="360" w:before="0" w:after="0"/>
              <w:ind w:hanging="0"/>
              <w:contextualSpacing/>
              <w:jc w:val="center"/>
              <w:rPr>
                <w:rFonts w:ascii="Arial;DejaVu Sans" w:hAnsi="Arial;DejaVu Sans" w:eastAsia="方正仿宋_GB2312;方正仿宋_GBK" w:cs="仿宋_GB2312;方正仿宋_GBK"/>
                <w:kern w:val="2"/>
                <w:sz w:val="28"/>
                <w:szCs w:val="28"/>
                <w:lang w:val="en-US" w:eastAsia="zh-CN" w:bidi="ar-SA"/>
              </w:rPr>
            </w:pPr>
            <w:r>
              <w:rPr>
                <w:rFonts w:ascii="Arial;DejaVu Sans" w:hAnsi="Arial;DejaVu Sans" w:cs="仿宋_GB2312;方正仿宋_GBK" w:eastAsia="方正仿宋_GB2312;方正仿宋_GBK"/>
                <w:sz w:val="28"/>
                <w:szCs w:val="28"/>
                <w:lang w:eastAsia="zh-CN"/>
              </w:rPr>
              <w:t>【产品检验报告】</w:t>
            </w:r>
          </w:p>
        </w:tc>
        <w:tc>
          <w:tcPr>
            <w:tcW w:w="15026"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400"/>
              <w:jc w:val="left"/>
              <w:rPr>
                <w:rFonts w:ascii="仿宋;CESI仿宋-GB13000" w:hAnsi="仿宋;CESI仿宋-GB13000" w:eastAsia="仿宋;CESI仿宋-GB13000" w:cs="仿宋;CESI仿宋-GB13000"/>
                <w:sz w:val="28"/>
                <w:szCs w:val="28"/>
              </w:rPr>
            </w:pPr>
            <w:r>
              <w:rPr>
                <w:rFonts w:eastAsia="仿宋;CESI仿宋-GB13000" w:cs="仿宋;CESI仿宋-GB13000" w:ascii="仿宋;CESI仿宋-GB13000" w:hAnsi="仿宋;CESI仿宋-GB13000"/>
                <w:sz w:val="28"/>
                <w:szCs w:val="28"/>
                <w:lang w:val="en-US" w:eastAsia="zh-CN"/>
              </w:rPr>
              <w:t>1</w:t>
            </w:r>
            <w:r>
              <w:rPr>
                <w:rFonts w:eastAsia="仿宋;CESI仿宋-GB13000" w:cs="仿宋;CESI仿宋-GB13000" w:ascii="仿宋;CESI仿宋-GB13000" w:hAnsi="仿宋;CESI仿宋-GB13000"/>
                <w:sz w:val="28"/>
                <w:szCs w:val="28"/>
              </w:rPr>
              <w:t>.</w:t>
            </w:r>
            <w:r>
              <w:rPr>
                <w:rFonts w:ascii="仿宋;CESI仿宋-GB13000" w:hAnsi="仿宋;CESI仿宋-GB13000" w:cs="仿宋;CESI仿宋-GB13000" w:eastAsia="仿宋;CESI仿宋-GB13000"/>
                <w:sz w:val="28"/>
                <w:szCs w:val="28"/>
              </w:rPr>
              <w:t>同一产品的备案检验项目，一般应当由同一检验检测机构独立完成并出具检验报告，涉及人体安全性和功效评价检验的，或者检验检测机构的资质认定</w:t>
            </w:r>
            <w:r>
              <w:rPr>
                <w:rFonts w:eastAsia="仿宋;CESI仿宋-GB13000" w:cs="仿宋;CESI仿宋-GB13000" w:ascii="仿宋;CESI仿宋-GB13000" w:hAnsi="仿宋;CESI仿宋-GB13000"/>
                <w:sz w:val="28"/>
                <w:szCs w:val="28"/>
              </w:rPr>
              <w:t>(CMA)</w:t>
            </w:r>
            <w:r>
              <w:rPr>
                <w:rFonts w:ascii="仿宋;CESI仿宋-GB13000" w:hAnsi="仿宋;CESI仿宋-GB13000" w:cs="仿宋;CESI仿宋-GB13000" w:eastAsia="仿宋;CESI仿宋-GB13000"/>
                <w:sz w:val="28"/>
                <w:szCs w:val="28"/>
              </w:rPr>
              <w:t>能力范围中不包括石棉项目的，化妆品企业可以同时另行选择其他取得检验检测资质认定</w:t>
            </w:r>
            <w:r>
              <w:rPr>
                <w:rFonts w:eastAsia="仿宋;CESI仿宋-GB13000" w:cs="仿宋;CESI仿宋-GB13000" w:ascii="仿宋;CESI仿宋-GB13000" w:hAnsi="仿宋;CESI仿宋-GB13000"/>
                <w:sz w:val="28"/>
                <w:szCs w:val="28"/>
              </w:rPr>
              <w:t>(CMA)</w:t>
            </w:r>
            <w:r>
              <w:rPr>
                <w:rFonts w:ascii="仿宋;CESI仿宋-GB13000" w:hAnsi="仿宋;CESI仿宋-GB13000" w:cs="仿宋;CESI仿宋-GB13000" w:eastAsia="仿宋;CESI仿宋-GB13000"/>
                <w:sz w:val="28"/>
                <w:szCs w:val="28"/>
              </w:rPr>
              <w:t>并具备相应检验能力的检验检测机构完成。</w:t>
            </w:r>
          </w:p>
        </w:tc>
        <w:tc>
          <w:tcPr>
            <w:tcW w:w="2378"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520"/>
              <w:jc w:val="center"/>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t>□</w:t>
            </w:r>
            <w:r>
              <w:rPr>
                <w:rFonts w:ascii="仿宋_GB2312;方正仿宋_GBK" w:hAnsi="仿宋_GB2312;方正仿宋_GBK" w:cs="仿宋_GB2312;方正仿宋_GBK" w:eastAsia="仿宋_GB2312;方正仿宋_GBK"/>
                <w:sz w:val="28"/>
                <w:szCs w:val="28"/>
              </w:rPr>
              <w:t>符合 □不符合</w:t>
            </w:r>
          </w:p>
        </w:tc>
        <w:tc>
          <w:tcPr>
            <w:tcW w:w="85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360"/>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r>
          </w:p>
        </w:tc>
      </w:tr>
      <w:tr>
        <w:trPr>
          <w:trHeight w:val="1097" w:hRule="atLeast"/>
        </w:trPr>
        <w:tc>
          <w:tcPr>
            <w:tcW w:w="79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Arial;DejaVu Sans" w:hAnsi="Arial;DejaVu Sans" w:eastAsia="方正仿宋_GB2312;方正仿宋_GBK" w:cs="仿宋_GB2312;方正仿宋_GBK"/>
                <w:sz w:val="28"/>
                <w:szCs w:val="28"/>
              </w:rPr>
            </w:pPr>
            <w:r>
              <w:rPr>
                <w:rFonts w:eastAsia="方正仿宋_GB2312;方正仿宋_GBK" w:cs="仿宋_GB2312;方正仿宋_GBK" w:ascii="Arial;DejaVu Sans" w:hAnsi="Arial;DejaVu Sans"/>
                <w:sz w:val="28"/>
                <w:szCs w:val="28"/>
              </w:rPr>
            </w:r>
          </w:p>
        </w:tc>
        <w:tc>
          <w:tcPr>
            <w:tcW w:w="2239" w:type="dxa"/>
            <w:vMerge w:val="continue"/>
            <w:tcBorders>
              <w:top w:val="single" w:sz="4" w:space="0" w:color="000000"/>
              <w:left w:val="single" w:sz="4" w:space="0" w:color="000000"/>
              <w:bottom w:val="single" w:sz="4" w:space="0" w:color="000000"/>
              <w:right w:val="single" w:sz="4" w:space="0" w:color="000000"/>
            </w:tcBorders>
            <w:vAlign w:val="center"/>
          </w:tcPr>
          <w:p>
            <w:pPr>
              <w:pStyle w:val="ListParagraph"/>
              <w:snapToGrid w:val="false"/>
              <w:spacing w:lineRule="exact" w:line="360" w:before="0" w:after="0"/>
              <w:ind w:hanging="0"/>
              <w:contextualSpacing/>
              <w:jc w:val="center"/>
              <w:rPr>
                <w:rFonts w:ascii="Arial;DejaVu Sans" w:hAnsi="Arial;DejaVu Sans" w:eastAsia="方正仿宋_GB2312;方正仿宋_GBK" w:cs="仿宋_GB2312;方正仿宋_GBK"/>
                <w:sz w:val="28"/>
                <w:szCs w:val="28"/>
              </w:rPr>
            </w:pPr>
            <w:r>
              <w:rPr>
                <w:rFonts w:eastAsia="方正仿宋_GB2312;方正仿宋_GBK" w:cs="仿宋_GB2312;方正仿宋_GBK" w:ascii="Arial;DejaVu Sans" w:hAnsi="Arial;DejaVu Sans"/>
                <w:sz w:val="28"/>
                <w:szCs w:val="28"/>
              </w:rPr>
            </w:r>
          </w:p>
        </w:tc>
        <w:tc>
          <w:tcPr>
            <w:tcW w:w="15026"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400"/>
              <w:jc w:val="left"/>
              <w:rPr>
                <w:rFonts w:ascii="仿宋;CESI仿宋-GB13000" w:hAnsi="仿宋;CESI仿宋-GB13000" w:eastAsia="仿宋;CESI仿宋-GB13000" w:cs="仿宋;CESI仿宋-GB13000"/>
                <w:sz w:val="28"/>
                <w:szCs w:val="28"/>
              </w:rPr>
            </w:pPr>
            <w:r>
              <w:rPr>
                <w:rFonts w:eastAsia="仿宋;CESI仿宋-GB13000" w:cs="仿宋;CESI仿宋-GB13000" w:ascii="仿宋;CESI仿宋-GB13000" w:hAnsi="仿宋;CESI仿宋-GB13000"/>
                <w:sz w:val="28"/>
                <w:szCs w:val="28"/>
                <w:lang w:val="en-US" w:eastAsia="zh-CN"/>
              </w:rPr>
              <w:t>2</w:t>
            </w:r>
            <w:r>
              <w:rPr>
                <w:rFonts w:eastAsia="仿宋;CESI仿宋-GB13000" w:cs="仿宋;CESI仿宋-GB13000" w:ascii="仿宋;CESI仿宋-GB13000" w:hAnsi="仿宋;CESI仿宋-GB13000"/>
                <w:sz w:val="28"/>
                <w:szCs w:val="28"/>
              </w:rPr>
              <w:t>.</w:t>
            </w:r>
            <w:r>
              <w:rPr>
                <w:rFonts w:ascii="仿宋;CESI仿宋-GB13000" w:hAnsi="仿宋;CESI仿宋-GB13000" w:cs="仿宋;CESI仿宋-GB13000" w:eastAsia="仿宋;CESI仿宋-GB13000"/>
                <w:sz w:val="28"/>
                <w:szCs w:val="28"/>
              </w:rPr>
              <w:t>提交自检报告的，备案人或受托生产企业应符合《关于优化普通化妆品备案检验管理措施有关事宜的公告》的要求，同时提交具备《化妆品注册和备案检验工作规范》规定的化妆品备案检验相应检验能力的声明，提供开展自检的相应检验人员、设备设施和场所环境等情况说明，并承诺对检验报告的真实性、准确性负责。具有下列情形之一的不可提交自检报告：</w:t>
            </w:r>
          </w:p>
          <w:p>
            <w:pPr>
              <w:pStyle w:val="Normal"/>
              <w:spacing w:lineRule="exact" w:line="400"/>
              <w:jc w:val="left"/>
              <w:rPr>
                <w:rFonts w:ascii="仿宋;CESI仿宋-GB13000" w:hAnsi="仿宋;CESI仿宋-GB13000" w:eastAsia="仿宋;CESI仿宋-GB13000" w:cs="仿宋;CESI仿宋-GB13000"/>
                <w:sz w:val="28"/>
                <w:szCs w:val="28"/>
              </w:rPr>
            </w:pPr>
            <w:r>
              <w:rPr>
                <w:rFonts w:ascii="仿宋;CESI仿宋-GB13000" w:hAnsi="仿宋;CESI仿宋-GB13000" w:cs="仿宋;CESI仿宋-GB13000" w:eastAsia="仿宋;CESI仿宋-GB13000"/>
                <w:sz w:val="28"/>
                <w:szCs w:val="28"/>
              </w:rPr>
              <w:t>（</w:t>
            </w:r>
            <w:r>
              <w:rPr>
                <w:rFonts w:eastAsia="仿宋;CESI仿宋-GB13000" w:cs="仿宋;CESI仿宋-GB13000" w:ascii="仿宋;CESI仿宋-GB13000" w:hAnsi="仿宋;CESI仿宋-GB13000"/>
                <w:sz w:val="28"/>
                <w:szCs w:val="28"/>
              </w:rPr>
              <w:t>1</w:t>
            </w:r>
            <w:r>
              <w:rPr>
                <w:rFonts w:ascii="仿宋;CESI仿宋-GB13000" w:hAnsi="仿宋;CESI仿宋-GB13000" w:cs="仿宋;CESI仿宋-GB13000" w:eastAsia="仿宋;CESI仿宋-GB13000"/>
                <w:sz w:val="28"/>
                <w:szCs w:val="28"/>
              </w:rPr>
              <w:t>）产品宣称婴幼儿和儿童使用的；</w:t>
            </w:r>
          </w:p>
          <w:p>
            <w:pPr>
              <w:pStyle w:val="Normal"/>
              <w:spacing w:lineRule="exact" w:line="400"/>
              <w:jc w:val="left"/>
              <w:rPr>
                <w:rFonts w:ascii="仿宋;CESI仿宋-GB13000" w:hAnsi="仿宋;CESI仿宋-GB13000" w:eastAsia="仿宋;CESI仿宋-GB13000" w:cs="仿宋;CESI仿宋-GB13000"/>
                <w:sz w:val="28"/>
                <w:szCs w:val="28"/>
              </w:rPr>
            </w:pPr>
            <w:r>
              <w:rPr>
                <w:rFonts w:ascii="仿宋;CESI仿宋-GB13000" w:hAnsi="仿宋;CESI仿宋-GB13000" w:cs="仿宋;CESI仿宋-GB13000" w:eastAsia="仿宋;CESI仿宋-GB13000"/>
                <w:sz w:val="28"/>
                <w:szCs w:val="28"/>
              </w:rPr>
              <w:t>（</w:t>
            </w:r>
            <w:r>
              <w:rPr>
                <w:rFonts w:eastAsia="仿宋;CESI仿宋-GB13000" w:cs="仿宋;CESI仿宋-GB13000" w:ascii="仿宋;CESI仿宋-GB13000" w:hAnsi="仿宋;CESI仿宋-GB13000"/>
                <w:sz w:val="28"/>
                <w:szCs w:val="28"/>
              </w:rPr>
              <w:t>2</w:t>
            </w:r>
            <w:r>
              <w:rPr>
                <w:rFonts w:ascii="仿宋;CESI仿宋-GB13000" w:hAnsi="仿宋;CESI仿宋-GB13000" w:cs="仿宋;CESI仿宋-GB13000" w:eastAsia="仿宋;CESI仿宋-GB13000"/>
                <w:sz w:val="28"/>
                <w:szCs w:val="28"/>
              </w:rPr>
              <w:t>）产品使用尚在安全监测中的化妆品新原料的；</w:t>
            </w:r>
          </w:p>
          <w:p>
            <w:pPr>
              <w:pStyle w:val="Normal"/>
              <w:spacing w:lineRule="exact" w:line="400"/>
              <w:jc w:val="left"/>
              <w:rPr>
                <w:rFonts w:ascii="仿宋;CESI仿宋-GB13000" w:hAnsi="仿宋;CESI仿宋-GB13000" w:eastAsia="仿宋;CESI仿宋-GB13000" w:cs="仿宋;CESI仿宋-GB13000"/>
                <w:sz w:val="28"/>
                <w:szCs w:val="28"/>
              </w:rPr>
            </w:pPr>
            <w:r>
              <w:rPr>
                <w:rFonts w:ascii="仿宋;CESI仿宋-GB13000" w:hAnsi="仿宋;CESI仿宋-GB13000" w:cs="仿宋;CESI仿宋-GB13000" w:eastAsia="仿宋;CESI仿宋-GB13000"/>
                <w:sz w:val="28"/>
                <w:szCs w:val="28"/>
              </w:rPr>
              <w:t>（</w:t>
            </w:r>
            <w:r>
              <w:rPr>
                <w:rFonts w:eastAsia="仿宋;CESI仿宋-GB13000" w:cs="仿宋;CESI仿宋-GB13000" w:ascii="仿宋;CESI仿宋-GB13000" w:hAnsi="仿宋;CESI仿宋-GB13000"/>
                <w:sz w:val="28"/>
                <w:szCs w:val="28"/>
              </w:rPr>
              <w:t>3</w:t>
            </w:r>
            <w:r>
              <w:rPr>
                <w:rFonts w:ascii="仿宋;CESI仿宋-GB13000" w:hAnsi="仿宋;CESI仿宋-GB13000" w:cs="仿宋;CESI仿宋-GB13000" w:eastAsia="仿宋;CESI仿宋-GB13000"/>
                <w:sz w:val="28"/>
                <w:szCs w:val="28"/>
              </w:rPr>
              <w:t>）产品宣称具有祛痘、滋养、修护、抗皱、去屑、除臭等功效的；</w:t>
            </w:r>
          </w:p>
          <w:p>
            <w:pPr>
              <w:pStyle w:val="Normal"/>
              <w:spacing w:lineRule="exact" w:line="400"/>
              <w:jc w:val="left"/>
              <w:rPr>
                <w:rFonts w:ascii="仿宋;CESI仿宋-GB13000" w:hAnsi="仿宋;CESI仿宋-GB13000" w:eastAsia="仿宋;CESI仿宋-GB13000" w:cs="仿宋;CESI仿宋-GB13000"/>
                <w:sz w:val="28"/>
                <w:szCs w:val="28"/>
              </w:rPr>
            </w:pPr>
            <w:r>
              <w:rPr>
                <w:rFonts w:ascii="仿宋;CESI仿宋-GB13000" w:hAnsi="仿宋;CESI仿宋-GB13000" w:cs="仿宋;CESI仿宋-GB13000" w:eastAsia="仿宋;CESI仿宋-GB13000"/>
                <w:sz w:val="28"/>
                <w:szCs w:val="28"/>
              </w:rPr>
              <w:t>（</w:t>
            </w:r>
            <w:r>
              <w:rPr>
                <w:rFonts w:eastAsia="仿宋;CESI仿宋-GB13000" w:cs="仿宋;CESI仿宋-GB13000" w:ascii="仿宋;CESI仿宋-GB13000" w:hAnsi="仿宋;CESI仿宋-GB13000"/>
                <w:sz w:val="28"/>
                <w:szCs w:val="28"/>
              </w:rPr>
              <w:t>4</w:t>
            </w:r>
            <w:r>
              <w:rPr>
                <w:rFonts w:ascii="仿宋;CESI仿宋-GB13000" w:hAnsi="仿宋;CESI仿宋-GB13000" w:cs="仿宋;CESI仿宋-GB13000" w:eastAsia="仿宋;CESI仿宋-GB13000"/>
                <w:sz w:val="28"/>
                <w:szCs w:val="28"/>
              </w:rPr>
              <w:t>）产品可能存在较高安全风险的其他情形。</w:t>
            </w:r>
          </w:p>
        </w:tc>
        <w:tc>
          <w:tcPr>
            <w:tcW w:w="2378"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520"/>
              <w:jc w:val="center"/>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t>□</w:t>
            </w:r>
            <w:r>
              <w:rPr>
                <w:rFonts w:ascii="仿宋_GB2312;方正仿宋_GBK" w:hAnsi="仿宋_GB2312;方正仿宋_GBK" w:cs="仿宋_GB2312;方正仿宋_GBK" w:eastAsia="仿宋_GB2312;方正仿宋_GBK"/>
                <w:sz w:val="28"/>
                <w:szCs w:val="28"/>
              </w:rPr>
              <w:t>符合 □不符合</w:t>
            </w:r>
          </w:p>
        </w:tc>
        <w:tc>
          <w:tcPr>
            <w:tcW w:w="85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360"/>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r>
          </w:p>
        </w:tc>
      </w:tr>
      <w:tr>
        <w:trPr>
          <w:trHeight w:val="90" w:hRule="atLeast"/>
        </w:trPr>
        <w:tc>
          <w:tcPr>
            <w:tcW w:w="79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Arial;DejaVu Sans" w:hAnsi="Arial;DejaVu Sans" w:eastAsia="方正仿宋_GB2312;方正仿宋_GBK" w:cs="仿宋_GB2312;方正仿宋_GBK"/>
                <w:sz w:val="28"/>
                <w:szCs w:val="28"/>
              </w:rPr>
            </w:pPr>
            <w:r>
              <w:rPr>
                <w:rFonts w:eastAsia="方正仿宋_GB2312;方正仿宋_GBK" w:cs="仿宋_GB2312;方正仿宋_GBK" w:ascii="Arial;DejaVu Sans" w:hAnsi="Arial;DejaVu Sans"/>
                <w:sz w:val="28"/>
                <w:szCs w:val="28"/>
              </w:rPr>
            </w:r>
          </w:p>
        </w:tc>
        <w:tc>
          <w:tcPr>
            <w:tcW w:w="2239" w:type="dxa"/>
            <w:vMerge w:val="continue"/>
            <w:tcBorders>
              <w:top w:val="single" w:sz="4" w:space="0" w:color="000000"/>
              <w:left w:val="single" w:sz="4" w:space="0" w:color="000000"/>
              <w:bottom w:val="single" w:sz="4" w:space="0" w:color="000000"/>
              <w:right w:val="single" w:sz="4" w:space="0" w:color="000000"/>
            </w:tcBorders>
            <w:vAlign w:val="center"/>
          </w:tcPr>
          <w:p>
            <w:pPr>
              <w:pStyle w:val="ListParagraph"/>
              <w:snapToGrid w:val="false"/>
              <w:spacing w:lineRule="exact" w:line="360" w:before="0" w:after="0"/>
              <w:ind w:hanging="0"/>
              <w:contextualSpacing/>
              <w:jc w:val="center"/>
              <w:rPr>
                <w:rFonts w:ascii="Arial;DejaVu Sans" w:hAnsi="Arial;DejaVu Sans" w:eastAsia="方正仿宋_GB2312;方正仿宋_GBK" w:cs="仿宋_GB2312;方正仿宋_GBK"/>
                <w:sz w:val="28"/>
                <w:szCs w:val="28"/>
              </w:rPr>
            </w:pPr>
            <w:r>
              <w:rPr>
                <w:rFonts w:eastAsia="方正仿宋_GB2312;方正仿宋_GBK" w:cs="仿宋_GB2312;方正仿宋_GBK" w:ascii="Arial;DejaVu Sans" w:hAnsi="Arial;DejaVu Sans"/>
                <w:sz w:val="28"/>
                <w:szCs w:val="28"/>
              </w:rPr>
            </w:r>
          </w:p>
        </w:tc>
        <w:tc>
          <w:tcPr>
            <w:tcW w:w="15026"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400"/>
              <w:jc w:val="left"/>
              <w:rPr>
                <w:rFonts w:ascii="仿宋;CESI仿宋-GB13000" w:hAnsi="仿宋;CESI仿宋-GB13000" w:eastAsia="仿宋;CESI仿宋-GB13000" w:cs="仿宋;CESI仿宋-GB13000"/>
                <w:sz w:val="28"/>
                <w:szCs w:val="28"/>
              </w:rPr>
            </w:pPr>
            <w:r>
              <w:rPr>
                <w:rFonts w:eastAsia="仿宋;CESI仿宋-GB13000" w:cs="仿宋;CESI仿宋-GB13000" w:ascii="仿宋;CESI仿宋-GB13000" w:hAnsi="仿宋;CESI仿宋-GB13000"/>
                <w:sz w:val="28"/>
                <w:szCs w:val="28"/>
                <w:lang w:val="en-US" w:eastAsia="zh-CN"/>
              </w:rPr>
              <w:t>3</w:t>
            </w:r>
            <w:r>
              <w:rPr>
                <w:rFonts w:eastAsia="仿宋;CESI仿宋-GB13000" w:cs="仿宋;CESI仿宋-GB13000" w:ascii="仿宋;CESI仿宋-GB13000" w:hAnsi="仿宋;CESI仿宋-GB13000"/>
                <w:sz w:val="28"/>
                <w:szCs w:val="28"/>
              </w:rPr>
              <w:t>.</w:t>
            </w:r>
            <w:r>
              <w:rPr>
                <w:rFonts w:ascii="仿宋;CESI仿宋-GB13000" w:hAnsi="仿宋;CESI仿宋-GB13000" w:cs="仿宋;CESI仿宋-GB13000" w:eastAsia="仿宋;CESI仿宋-GB13000"/>
                <w:sz w:val="28"/>
                <w:szCs w:val="28"/>
              </w:rPr>
              <w:t>检验项目和检验方法应符合化妆品检验的相关规定，结果应符合《化妆品安全技术规范》中对应项目的安全性要求。如产品属于应检测甲醇、二噁烷、石棉、甲醛、化学防晒剂（非防晒类产品申报配方中使用化学防晒剂的，应当检测所含化学防晒剂）、</w:t>
            </w:r>
            <w:r>
              <w:rPr>
                <w:rFonts w:eastAsia="仿宋;CESI仿宋-GB13000" w:cs="仿宋;CESI仿宋-GB13000" w:ascii="仿宋;CESI仿宋-GB13000" w:hAnsi="仿宋;CESI仿宋-GB13000"/>
                <w:sz w:val="28"/>
                <w:szCs w:val="28"/>
              </w:rPr>
              <w:t>pH</w:t>
            </w:r>
            <w:r>
              <w:rPr>
                <w:rFonts w:ascii="仿宋;CESI仿宋-GB13000" w:hAnsi="仿宋;CESI仿宋-GB13000" w:cs="仿宋;CESI仿宋-GB13000" w:eastAsia="仿宋;CESI仿宋-GB13000"/>
                <w:sz w:val="28"/>
                <w:szCs w:val="28"/>
              </w:rPr>
              <w:t>值、</w:t>
            </w:r>
            <w:r>
              <w:rPr>
                <w:rFonts w:eastAsia="仿宋;CESI仿宋-GB13000" w:cs="仿宋;CESI仿宋-GB13000" w:ascii="仿宋;CESI仿宋-GB13000" w:hAnsi="仿宋;CESI仿宋-GB13000"/>
                <w:sz w:val="28"/>
                <w:szCs w:val="28"/>
              </w:rPr>
              <w:t>α-</w:t>
            </w:r>
            <w:r>
              <w:rPr>
                <w:rFonts w:ascii="仿宋;CESI仿宋-GB13000" w:hAnsi="仿宋;CESI仿宋-GB13000" w:cs="仿宋;CESI仿宋-GB13000" w:eastAsia="仿宋;CESI仿宋-GB13000"/>
                <w:sz w:val="28"/>
                <w:szCs w:val="28"/>
              </w:rPr>
              <w:t>羟基酸、去屑剂等项目的情形，应设置相应的控制指标并提交相应检验报告。</w:t>
            </w:r>
          </w:p>
        </w:tc>
        <w:tc>
          <w:tcPr>
            <w:tcW w:w="2378"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520"/>
              <w:jc w:val="center"/>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t>□</w:t>
            </w:r>
            <w:r>
              <w:rPr>
                <w:rFonts w:ascii="仿宋_GB2312;方正仿宋_GBK" w:hAnsi="仿宋_GB2312;方正仿宋_GBK" w:cs="仿宋_GB2312;方正仿宋_GBK" w:eastAsia="仿宋_GB2312;方正仿宋_GBK"/>
                <w:sz w:val="28"/>
                <w:szCs w:val="28"/>
              </w:rPr>
              <w:t>符合 □不符合</w:t>
            </w:r>
          </w:p>
        </w:tc>
        <w:tc>
          <w:tcPr>
            <w:tcW w:w="85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360"/>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r>
          </w:p>
        </w:tc>
      </w:tr>
      <w:tr>
        <w:trPr>
          <w:trHeight w:val="884" w:hRule="atLeast"/>
        </w:trPr>
        <w:tc>
          <w:tcPr>
            <w:tcW w:w="79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Arial;DejaVu Sans" w:hAnsi="Arial;DejaVu Sans" w:eastAsia="方正仿宋_GB2312;方正仿宋_GBK" w:cs="仿宋_GB2312;方正仿宋_GBK"/>
                <w:sz w:val="28"/>
                <w:szCs w:val="28"/>
              </w:rPr>
            </w:pPr>
            <w:r>
              <w:rPr>
                <w:rFonts w:eastAsia="方正仿宋_GB2312;方正仿宋_GBK" w:cs="仿宋_GB2312;方正仿宋_GBK" w:ascii="Arial;DejaVu Sans" w:hAnsi="Arial;DejaVu Sans"/>
                <w:sz w:val="28"/>
                <w:szCs w:val="28"/>
              </w:rPr>
            </w:r>
          </w:p>
        </w:tc>
        <w:tc>
          <w:tcPr>
            <w:tcW w:w="2239" w:type="dxa"/>
            <w:vMerge w:val="continue"/>
            <w:tcBorders>
              <w:top w:val="single" w:sz="4" w:space="0" w:color="000000"/>
              <w:left w:val="single" w:sz="4" w:space="0" w:color="000000"/>
              <w:bottom w:val="single" w:sz="4" w:space="0" w:color="000000"/>
              <w:right w:val="single" w:sz="4" w:space="0" w:color="000000"/>
            </w:tcBorders>
            <w:vAlign w:val="center"/>
          </w:tcPr>
          <w:p>
            <w:pPr>
              <w:pStyle w:val="ListParagraph"/>
              <w:snapToGrid w:val="false"/>
              <w:spacing w:lineRule="exact" w:line="360" w:before="0" w:after="0"/>
              <w:ind w:hanging="0"/>
              <w:contextualSpacing/>
              <w:jc w:val="center"/>
              <w:rPr>
                <w:rFonts w:ascii="Arial;DejaVu Sans" w:hAnsi="Arial;DejaVu Sans" w:eastAsia="方正仿宋_GB2312;方正仿宋_GBK" w:cs="仿宋_GB2312;方正仿宋_GBK"/>
                <w:sz w:val="28"/>
                <w:szCs w:val="28"/>
              </w:rPr>
            </w:pPr>
            <w:r>
              <w:rPr>
                <w:rFonts w:eastAsia="方正仿宋_GB2312;方正仿宋_GBK" w:cs="仿宋_GB2312;方正仿宋_GBK" w:ascii="Arial;DejaVu Sans" w:hAnsi="Arial;DejaVu Sans"/>
                <w:sz w:val="28"/>
                <w:szCs w:val="28"/>
              </w:rPr>
            </w:r>
          </w:p>
        </w:tc>
        <w:tc>
          <w:tcPr>
            <w:tcW w:w="15026"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400"/>
              <w:jc w:val="left"/>
              <w:rPr>
                <w:rFonts w:ascii="仿宋;CESI仿宋-GB13000" w:hAnsi="仿宋;CESI仿宋-GB13000" w:eastAsia="仿宋;CESI仿宋-GB13000" w:cs="仿宋;CESI仿宋-GB13000"/>
                <w:sz w:val="28"/>
                <w:szCs w:val="28"/>
              </w:rPr>
            </w:pPr>
            <w:r>
              <w:rPr>
                <w:rFonts w:eastAsia="仿宋;CESI仿宋-GB13000" w:cs="仿宋;CESI仿宋-GB13000" w:ascii="仿宋;CESI仿宋-GB13000" w:hAnsi="仿宋;CESI仿宋-GB13000"/>
                <w:sz w:val="28"/>
                <w:szCs w:val="28"/>
                <w:lang w:val="en-US" w:eastAsia="zh-CN"/>
              </w:rPr>
              <w:t>4</w:t>
            </w:r>
            <w:r>
              <w:rPr>
                <w:rFonts w:eastAsia="仿宋;CESI仿宋-GB13000" w:cs="仿宋;CESI仿宋-GB13000" w:ascii="仿宋;CESI仿宋-GB13000" w:hAnsi="仿宋;CESI仿宋-GB13000"/>
                <w:sz w:val="28"/>
                <w:szCs w:val="28"/>
              </w:rPr>
              <w:t>.</w:t>
            </w:r>
            <w:r>
              <w:rPr>
                <w:rFonts w:ascii="仿宋;CESI仿宋-GB13000" w:hAnsi="仿宋;CESI仿宋-GB13000" w:cs="仿宋;CESI仿宋-GB13000" w:eastAsia="仿宋;CESI仿宋-GB13000"/>
                <w:sz w:val="28"/>
                <w:szCs w:val="28"/>
              </w:rPr>
              <w:t>产品检验报告的受检样品应当为同一产品名称、同一批号的产品。多个生产企业生产同一产品的，应当提供其中一个生产企业样品完整的产品检验报告，并提交其他生产企业样品的微生物与理化检验报告。</w:t>
            </w:r>
          </w:p>
        </w:tc>
        <w:tc>
          <w:tcPr>
            <w:tcW w:w="2378"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520"/>
              <w:jc w:val="center"/>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t>□</w:t>
            </w:r>
            <w:r>
              <w:rPr>
                <w:rFonts w:ascii="仿宋_GB2312;方正仿宋_GBK" w:hAnsi="仿宋_GB2312;方正仿宋_GBK" w:cs="仿宋_GB2312;方正仿宋_GBK" w:eastAsia="仿宋_GB2312;方正仿宋_GBK"/>
                <w:sz w:val="28"/>
                <w:szCs w:val="28"/>
              </w:rPr>
              <w:t>符合 □不符合</w:t>
            </w:r>
          </w:p>
        </w:tc>
        <w:tc>
          <w:tcPr>
            <w:tcW w:w="85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360"/>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r>
          </w:p>
        </w:tc>
      </w:tr>
      <w:tr>
        <w:trPr>
          <w:trHeight w:val="90" w:hRule="atLeast"/>
        </w:trPr>
        <w:tc>
          <w:tcPr>
            <w:tcW w:w="79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Arial;DejaVu Sans" w:hAnsi="Arial;DejaVu Sans" w:eastAsia="方正仿宋_GB2312;方正仿宋_GBK" w:cs="仿宋_GB2312;方正仿宋_GBK"/>
                <w:kern w:val="2"/>
                <w:sz w:val="28"/>
                <w:szCs w:val="28"/>
                <w:lang w:val="en-US" w:eastAsia="zh-CN" w:bidi="ar-SA"/>
              </w:rPr>
            </w:pPr>
            <w:r>
              <w:rPr>
                <w:rFonts w:eastAsia="方正仿宋_GB2312;方正仿宋_GBK" w:cs="仿宋_GB2312;方正仿宋_GBK" w:ascii="Arial;DejaVu Sans" w:hAnsi="Arial;DejaVu Sans"/>
                <w:kern w:val="2"/>
                <w:sz w:val="28"/>
                <w:szCs w:val="28"/>
                <w:lang w:val="en-US" w:eastAsia="zh-CN" w:bidi="ar-SA"/>
              </w:rPr>
            </w:r>
          </w:p>
        </w:tc>
        <w:tc>
          <w:tcPr>
            <w:tcW w:w="2239" w:type="dxa"/>
            <w:vMerge w:val="continue"/>
            <w:tcBorders>
              <w:top w:val="single" w:sz="4" w:space="0" w:color="000000"/>
              <w:left w:val="single" w:sz="4" w:space="0" w:color="000000"/>
              <w:bottom w:val="single" w:sz="4" w:space="0" w:color="000000"/>
              <w:right w:val="single" w:sz="4" w:space="0" w:color="000000"/>
            </w:tcBorders>
            <w:vAlign w:val="center"/>
          </w:tcPr>
          <w:p>
            <w:pPr>
              <w:pStyle w:val="ListParagraph"/>
              <w:snapToGrid w:val="false"/>
              <w:spacing w:lineRule="exact" w:line="360" w:before="0" w:after="0"/>
              <w:ind w:hanging="0"/>
              <w:contextualSpacing/>
              <w:jc w:val="center"/>
              <w:rPr>
                <w:rFonts w:ascii="Arial;DejaVu Sans" w:hAnsi="Arial;DejaVu Sans" w:eastAsia="方正仿宋_GB2312;方正仿宋_GBK" w:cs="仿宋_GB2312;方正仿宋_GBK"/>
                <w:kern w:val="2"/>
                <w:sz w:val="28"/>
                <w:szCs w:val="28"/>
                <w:lang w:val="en-US" w:eastAsia="zh-CN" w:bidi="ar-SA"/>
              </w:rPr>
            </w:pPr>
            <w:r>
              <w:rPr>
                <w:rFonts w:eastAsia="方正仿宋_GB2312;方正仿宋_GBK" w:cs="仿宋_GB2312;方正仿宋_GBK" w:ascii="Arial;DejaVu Sans" w:hAnsi="Arial;DejaVu Sans"/>
                <w:kern w:val="2"/>
                <w:sz w:val="28"/>
                <w:szCs w:val="28"/>
                <w:lang w:val="en-US" w:eastAsia="zh-CN" w:bidi="ar-SA"/>
              </w:rPr>
            </w:r>
          </w:p>
        </w:tc>
        <w:tc>
          <w:tcPr>
            <w:tcW w:w="15026"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400"/>
              <w:jc w:val="left"/>
              <w:rPr>
                <w:rFonts w:ascii="仿宋;CESI仿宋-GB13000" w:hAnsi="仿宋;CESI仿宋-GB13000" w:eastAsia="仿宋;CESI仿宋-GB13000" w:cs="仿宋;CESI仿宋-GB13000"/>
                <w:sz w:val="28"/>
                <w:szCs w:val="28"/>
              </w:rPr>
            </w:pPr>
            <w:r>
              <w:rPr>
                <w:rFonts w:eastAsia="仿宋;CESI仿宋-GB13000" w:cs="仿宋;CESI仿宋-GB13000" w:ascii="仿宋;CESI仿宋-GB13000" w:hAnsi="仿宋;CESI仿宋-GB13000"/>
                <w:sz w:val="28"/>
                <w:szCs w:val="28"/>
                <w:lang w:val="en-US" w:eastAsia="zh-CN"/>
              </w:rPr>
              <w:t>5</w:t>
            </w:r>
            <w:r>
              <w:rPr>
                <w:rFonts w:eastAsia="仿宋;CESI仿宋-GB13000" w:cs="仿宋;CESI仿宋-GB13000" w:ascii="仿宋;CESI仿宋-GB13000" w:hAnsi="仿宋;CESI仿宋-GB13000"/>
                <w:sz w:val="28"/>
                <w:szCs w:val="28"/>
              </w:rPr>
              <w:t>.</w:t>
            </w:r>
            <w:r>
              <w:rPr>
                <w:rFonts w:ascii="仿宋;CESI仿宋-GB13000" w:hAnsi="仿宋;CESI仿宋-GB13000" w:cs="仿宋;CESI仿宋-GB13000" w:eastAsia="仿宋;CESI仿宋-GB13000"/>
                <w:sz w:val="28"/>
                <w:szCs w:val="28"/>
              </w:rPr>
              <w:t>多色号系列普通化妆品按《化妆品注册和备案检验工作规范》抽样进行毒理学试验的，可作为一组产品进行备案，每个产品均应附上系列产品的名单、基础配方和着色剂一览表以及抽检产品名单。</w:t>
            </w:r>
          </w:p>
        </w:tc>
        <w:tc>
          <w:tcPr>
            <w:tcW w:w="2378"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520"/>
              <w:jc w:val="center"/>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t>□</w:t>
            </w:r>
            <w:r>
              <w:rPr>
                <w:rFonts w:ascii="仿宋_GB2312;方正仿宋_GBK" w:hAnsi="仿宋_GB2312;方正仿宋_GBK" w:cs="仿宋_GB2312;方正仿宋_GBK" w:eastAsia="仿宋_GB2312;方正仿宋_GBK"/>
                <w:sz w:val="28"/>
                <w:szCs w:val="28"/>
              </w:rPr>
              <w:t>符合 □不符合</w:t>
            </w:r>
          </w:p>
        </w:tc>
        <w:tc>
          <w:tcPr>
            <w:tcW w:w="85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360"/>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r>
          </w:p>
        </w:tc>
      </w:tr>
      <w:tr>
        <w:trPr>
          <w:trHeight w:val="1422" w:hRule="atLeast"/>
        </w:trPr>
        <w:tc>
          <w:tcPr>
            <w:tcW w:w="79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Arial;DejaVu Sans" w:hAnsi="Arial;DejaVu Sans" w:eastAsia="方正仿宋_GB2312;方正仿宋_GBK" w:cs="仿宋_GB2312;方正仿宋_GBK"/>
                <w:sz w:val="28"/>
                <w:szCs w:val="28"/>
              </w:rPr>
            </w:pPr>
            <w:r>
              <w:rPr>
                <w:rFonts w:eastAsia="方正仿宋_GB2312;方正仿宋_GBK" w:cs="仿宋_GB2312;方正仿宋_GBK" w:ascii="Arial;DejaVu Sans" w:hAnsi="Arial;DejaVu Sans"/>
                <w:sz w:val="28"/>
                <w:szCs w:val="28"/>
              </w:rPr>
            </w:r>
          </w:p>
        </w:tc>
        <w:tc>
          <w:tcPr>
            <w:tcW w:w="2239" w:type="dxa"/>
            <w:vMerge w:val="continue"/>
            <w:tcBorders>
              <w:top w:val="single" w:sz="4" w:space="0" w:color="000000"/>
              <w:left w:val="single" w:sz="4" w:space="0" w:color="000000"/>
              <w:bottom w:val="single" w:sz="4" w:space="0" w:color="000000"/>
              <w:right w:val="single" w:sz="4" w:space="0" w:color="000000"/>
            </w:tcBorders>
            <w:vAlign w:val="center"/>
          </w:tcPr>
          <w:p>
            <w:pPr>
              <w:pStyle w:val="ListParagraph"/>
              <w:snapToGrid w:val="false"/>
              <w:spacing w:lineRule="exact" w:line="360" w:before="0" w:after="0"/>
              <w:ind w:hanging="0"/>
              <w:contextualSpacing/>
              <w:jc w:val="center"/>
              <w:rPr>
                <w:rFonts w:ascii="Arial;DejaVu Sans" w:hAnsi="Arial;DejaVu Sans" w:eastAsia="方正仿宋_GB2312;方正仿宋_GBK" w:cs="仿宋_GB2312;方正仿宋_GBK"/>
                <w:sz w:val="28"/>
                <w:szCs w:val="28"/>
              </w:rPr>
            </w:pPr>
            <w:r>
              <w:rPr>
                <w:rFonts w:eastAsia="方正仿宋_GB2312;方正仿宋_GBK" w:cs="仿宋_GB2312;方正仿宋_GBK" w:ascii="Arial;DejaVu Sans" w:hAnsi="Arial;DejaVu Sans"/>
                <w:sz w:val="28"/>
                <w:szCs w:val="28"/>
              </w:rPr>
            </w:r>
          </w:p>
        </w:tc>
        <w:tc>
          <w:tcPr>
            <w:tcW w:w="15026"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400"/>
              <w:jc w:val="left"/>
              <w:rPr>
                <w:rFonts w:ascii="仿宋;CESI仿宋-GB13000" w:hAnsi="仿宋;CESI仿宋-GB13000" w:eastAsia="仿宋;CESI仿宋-GB13000" w:cs="仿宋;CESI仿宋-GB13000"/>
                <w:sz w:val="28"/>
                <w:szCs w:val="28"/>
              </w:rPr>
            </w:pPr>
            <w:r>
              <w:rPr>
                <w:rFonts w:eastAsia="仿宋;CESI仿宋-GB13000" w:cs="仿宋;CESI仿宋-GB13000" w:ascii="仿宋;CESI仿宋-GB13000" w:hAnsi="仿宋;CESI仿宋-GB13000"/>
                <w:sz w:val="28"/>
                <w:szCs w:val="28"/>
                <w:lang w:val="en-US" w:eastAsia="zh-CN"/>
              </w:rPr>
              <w:t>6</w:t>
            </w:r>
            <w:r>
              <w:rPr>
                <w:rFonts w:eastAsia="仿宋;CESI仿宋-GB13000" w:cs="仿宋;CESI仿宋-GB13000" w:ascii="仿宋;CESI仿宋-GB13000" w:hAnsi="仿宋;CESI仿宋-GB13000"/>
                <w:sz w:val="28"/>
                <w:szCs w:val="28"/>
              </w:rPr>
              <w:t>.</w:t>
            </w:r>
            <w:r>
              <w:rPr>
                <w:rFonts w:ascii="仿宋;CESI仿宋-GB13000" w:hAnsi="仿宋;CESI仿宋-GB13000" w:cs="仿宋;CESI仿宋-GB13000" w:eastAsia="仿宋;CESI仿宋-GB13000"/>
                <w:sz w:val="28"/>
                <w:szCs w:val="28"/>
              </w:rPr>
              <w:t>普通化妆品的生产企业已取得所在国（地区）政府主管部门出具的生产质量管理体系相关资质认证，且产品安全风险评估结果能够充分确认产品安全性的，可免于提交该产品的毒理学试验报告，有下列情形的除外：</w:t>
            </w:r>
          </w:p>
          <w:p>
            <w:pPr>
              <w:pStyle w:val="Normal"/>
              <w:spacing w:lineRule="exact" w:line="400"/>
              <w:jc w:val="left"/>
              <w:rPr>
                <w:rFonts w:ascii="仿宋;CESI仿宋-GB13000" w:hAnsi="仿宋;CESI仿宋-GB13000" w:eastAsia="仿宋;CESI仿宋-GB13000" w:cs="仿宋;CESI仿宋-GB13000"/>
                <w:sz w:val="28"/>
                <w:szCs w:val="28"/>
              </w:rPr>
            </w:pPr>
            <w:r>
              <w:rPr>
                <w:rFonts w:ascii="仿宋;CESI仿宋-GB13000" w:hAnsi="仿宋;CESI仿宋-GB13000" w:cs="仿宋;CESI仿宋-GB13000" w:eastAsia="仿宋;CESI仿宋-GB13000"/>
                <w:sz w:val="28"/>
                <w:szCs w:val="28"/>
              </w:rPr>
              <w:t>（</w:t>
            </w:r>
            <w:r>
              <w:rPr>
                <w:rFonts w:eastAsia="仿宋;CESI仿宋-GB13000" w:cs="仿宋;CESI仿宋-GB13000" w:ascii="仿宋;CESI仿宋-GB13000" w:hAnsi="仿宋;CESI仿宋-GB13000"/>
                <w:sz w:val="28"/>
                <w:szCs w:val="28"/>
              </w:rPr>
              <w:t>1</w:t>
            </w:r>
            <w:r>
              <w:rPr>
                <w:rFonts w:ascii="仿宋;CESI仿宋-GB13000" w:hAnsi="仿宋;CESI仿宋-GB13000" w:cs="仿宋;CESI仿宋-GB13000" w:eastAsia="仿宋;CESI仿宋-GB13000"/>
                <w:sz w:val="28"/>
                <w:szCs w:val="28"/>
              </w:rPr>
              <w:t>）产品宣称婴幼儿和儿童使用的；</w:t>
            </w:r>
          </w:p>
          <w:p>
            <w:pPr>
              <w:pStyle w:val="Normal"/>
              <w:spacing w:lineRule="exact" w:line="400"/>
              <w:jc w:val="left"/>
              <w:rPr>
                <w:rFonts w:ascii="仿宋;CESI仿宋-GB13000" w:hAnsi="仿宋;CESI仿宋-GB13000" w:eastAsia="仿宋;CESI仿宋-GB13000" w:cs="仿宋;CESI仿宋-GB13000"/>
                <w:sz w:val="28"/>
                <w:szCs w:val="28"/>
              </w:rPr>
            </w:pPr>
            <w:r>
              <w:rPr>
                <w:rFonts w:ascii="仿宋;CESI仿宋-GB13000" w:hAnsi="仿宋;CESI仿宋-GB13000" w:cs="仿宋;CESI仿宋-GB13000" w:eastAsia="仿宋;CESI仿宋-GB13000"/>
                <w:sz w:val="28"/>
                <w:szCs w:val="28"/>
              </w:rPr>
              <w:t>（</w:t>
            </w:r>
            <w:r>
              <w:rPr>
                <w:rFonts w:eastAsia="仿宋;CESI仿宋-GB13000" w:cs="仿宋;CESI仿宋-GB13000" w:ascii="仿宋;CESI仿宋-GB13000" w:hAnsi="仿宋;CESI仿宋-GB13000"/>
                <w:sz w:val="28"/>
                <w:szCs w:val="28"/>
              </w:rPr>
              <w:t>2</w:t>
            </w:r>
            <w:r>
              <w:rPr>
                <w:rFonts w:ascii="仿宋;CESI仿宋-GB13000" w:hAnsi="仿宋;CESI仿宋-GB13000" w:cs="仿宋;CESI仿宋-GB13000" w:eastAsia="仿宋;CESI仿宋-GB13000"/>
                <w:sz w:val="28"/>
                <w:szCs w:val="28"/>
              </w:rPr>
              <w:t>）产品使用尚在安全监测中化妆品新原料的；</w:t>
            </w:r>
          </w:p>
          <w:p>
            <w:pPr>
              <w:pStyle w:val="Normal"/>
              <w:spacing w:lineRule="exact" w:line="400"/>
              <w:jc w:val="left"/>
              <w:rPr>
                <w:rFonts w:ascii="Arial;DejaVu Sans" w:hAnsi="Arial;DejaVu Sans" w:eastAsia="方正仿宋_GB2312;方正仿宋_GBK" w:cs="仿宋_GB2312;方正仿宋_GBK"/>
                <w:color w:val="000000"/>
                <w:sz w:val="28"/>
                <w:szCs w:val="28"/>
              </w:rPr>
            </w:pPr>
            <w:r>
              <w:rPr>
                <w:rFonts w:ascii="仿宋;CESI仿宋-GB13000" w:hAnsi="仿宋;CESI仿宋-GB13000" w:cs="仿宋;CESI仿宋-GB13000" w:eastAsia="仿宋;CESI仿宋-GB13000"/>
                <w:sz w:val="28"/>
                <w:szCs w:val="28"/>
              </w:rPr>
              <w:t>（</w:t>
            </w:r>
            <w:r>
              <w:rPr>
                <w:rFonts w:eastAsia="仿宋;CESI仿宋-GB13000" w:cs="仿宋;CESI仿宋-GB13000" w:ascii="仿宋;CESI仿宋-GB13000" w:hAnsi="仿宋;CESI仿宋-GB13000"/>
                <w:sz w:val="28"/>
                <w:szCs w:val="28"/>
              </w:rPr>
              <w:t>3</w:t>
            </w:r>
            <w:r>
              <w:rPr>
                <w:rFonts w:ascii="仿宋;CESI仿宋-GB13000" w:hAnsi="仿宋;CESI仿宋-GB13000" w:cs="仿宋;CESI仿宋-GB13000" w:eastAsia="仿宋;CESI仿宋-GB13000"/>
                <w:sz w:val="28"/>
                <w:szCs w:val="28"/>
              </w:rPr>
              <w:t>）根据量化分级评分结果，备案人、境内责任人、生产企业被列为重点监管对象的。</w:t>
            </w:r>
          </w:p>
        </w:tc>
        <w:tc>
          <w:tcPr>
            <w:tcW w:w="2378"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360"/>
              <w:jc w:val="center"/>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t>□</w:t>
            </w:r>
            <w:r>
              <w:rPr>
                <w:rFonts w:ascii="仿宋_GB2312;方正仿宋_GBK" w:hAnsi="仿宋_GB2312;方正仿宋_GBK" w:cs="仿宋_GB2312;方正仿宋_GBK" w:eastAsia="仿宋_GB2312;方正仿宋_GBK"/>
                <w:sz w:val="28"/>
                <w:szCs w:val="28"/>
              </w:rPr>
              <w:t>符合 □不符合</w:t>
            </w:r>
          </w:p>
        </w:tc>
        <w:tc>
          <w:tcPr>
            <w:tcW w:w="85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360"/>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r>
          </w:p>
        </w:tc>
      </w:tr>
      <w:tr>
        <w:trPr>
          <w:trHeight w:val="903" w:hRule="atLeast"/>
        </w:trPr>
        <w:tc>
          <w:tcPr>
            <w:tcW w:w="79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Arial;DejaVu Sans" w:hAnsi="Arial;DejaVu Sans" w:eastAsia="方正仿宋_GB2312;方正仿宋_GBK" w:cs="仿宋_GB2312;方正仿宋_GBK"/>
                <w:sz w:val="28"/>
                <w:szCs w:val="28"/>
              </w:rPr>
            </w:pPr>
            <w:r>
              <w:rPr>
                <w:rFonts w:eastAsia="方正仿宋_GB2312;方正仿宋_GBK" w:cs="仿宋_GB2312;方正仿宋_GBK" w:ascii="Arial;DejaVu Sans" w:hAnsi="Arial;DejaVu Sans"/>
                <w:sz w:val="28"/>
                <w:szCs w:val="28"/>
              </w:rPr>
            </w:r>
          </w:p>
        </w:tc>
        <w:tc>
          <w:tcPr>
            <w:tcW w:w="2239" w:type="dxa"/>
            <w:vMerge w:val="continue"/>
            <w:tcBorders>
              <w:top w:val="single" w:sz="4" w:space="0" w:color="000000"/>
              <w:left w:val="single" w:sz="4" w:space="0" w:color="000000"/>
              <w:bottom w:val="single" w:sz="4" w:space="0" w:color="000000"/>
              <w:right w:val="single" w:sz="4" w:space="0" w:color="000000"/>
            </w:tcBorders>
            <w:vAlign w:val="center"/>
          </w:tcPr>
          <w:p>
            <w:pPr>
              <w:pStyle w:val="ListParagraph"/>
              <w:snapToGrid w:val="false"/>
              <w:spacing w:lineRule="exact" w:line="360" w:before="0" w:after="0"/>
              <w:ind w:hanging="0"/>
              <w:contextualSpacing/>
              <w:jc w:val="center"/>
              <w:rPr>
                <w:rFonts w:ascii="Arial;DejaVu Sans" w:hAnsi="Arial;DejaVu Sans" w:eastAsia="方正仿宋_GB2312;方正仿宋_GBK" w:cs="仿宋_GB2312;方正仿宋_GBK"/>
                <w:sz w:val="28"/>
                <w:szCs w:val="28"/>
              </w:rPr>
            </w:pPr>
            <w:r>
              <w:rPr>
                <w:rFonts w:eastAsia="方正仿宋_GB2312;方正仿宋_GBK" w:cs="仿宋_GB2312;方正仿宋_GBK" w:ascii="Arial;DejaVu Sans" w:hAnsi="Arial;DejaVu Sans"/>
                <w:sz w:val="28"/>
                <w:szCs w:val="28"/>
              </w:rPr>
            </w:r>
          </w:p>
        </w:tc>
        <w:tc>
          <w:tcPr>
            <w:tcW w:w="15026"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400"/>
              <w:jc w:val="left"/>
              <w:rPr>
                <w:rFonts w:ascii="仿宋;CESI仿宋-GB13000" w:hAnsi="仿宋;CESI仿宋-GB13000" w:eastAsia="仿宋;CESI仿宋-GB13000" w:cs="仿宋;CESI仿宋-GB13000"/>
                <w:sz w:val="28"/>
                <w:szCs w:val="28"/>
                <w:lang w:eastAsia="zh-CN"/>
              </w:rPr>
            </w:pPr>
            <w:r>
              <w:rPr>
                <w:rFonts w:eastAsia="仿宋;CESI仿宋-GB13000" w:cs="仿宋;CESI仿宋-GB13000" w:ascii="仿宋;CESI仿宋-GB13000" w:hAnsi="仿宋;CESI仿宋-GB13000"/>
                <w:sz w:val="28"/>
                <w:szCs w:val="28"/>
                <w:lang w:val="en-US" w:eastAsia="zh-CN"/>
              </w:rPr>
              <w:t>7</w:t>
            </w:r>
            <w:r>
              <w:rPr>
                <w:rFonts w:eastAsia="仿宋;CESI仿宋-GB13000" w:cs="仿宋;CESI仿宋-GB13000" w:ascii="仿宋;CESI仿宋-GB13000" w:hAnsi="仿宋;CESI仿宋-GB13000"/>
                <w:sz w:val="28"/>
                <w:szCs w:val="28"/>
              </w:rPr>
              <w:t>.</w:t>
            </w:r>
            <w:r>
              <w:rPr>
                <w:rFonts w:ascii="仿宋;CESI仿宋-GB13000" w:hAnsi="仿宋;CESI仿宋-GB13000" w:cs="仿宋;CESI仿宋-GB13000" w:eastAsia="仿宋;CESI仿宋-GB13000"/>
                <w:sz w:val="28"/>
                <w:szCs w:val="28"/>
              </w:rPr>
              <w:t>儿童化妆品的急性眼刺激性</w:t>
            </w:r>
            <w:r>
              <w:rPr>
                <w:rFonts w:eastAsia="仿宋;CESI仿宋-GB13000" w:cs="仿宋;CESI仿宋-GB13000" w:ascii="仿宋;CESI仿宋-GB13000" w:hAnsi="仿宋;CESI仿宋-GB13000"/>
                <w:sz w:val="28"/>
                <w:szCs w:val="28"/>
              </w:rPr>
              <w:t>/</w:t>
            </w:r>
            <w:r>
              <w:rPr>
                <w:rFonts w:ascii="仿宋;CESI仿宋-GB13000" w:hAnsi="仿宋;CESI仿宋-GB13000" w:cs="仿宋;CESI仿宋-GB13000" w:eastAsia="仿宋;CESI仿宋-GB13000"/>
                <w:sz w:val="28"/>
                <w:szCs w:val="28"/>
              </w:rPr>
              <w:t>腐蚀性试验结果应为无刺激性或者微刺激性，仅当试验结果为无刺激性时，可以宣称无泪配方；皮肤刺激性</w:t>
            </w:r>
            <w:r>
              <w:rPr>
                <w:rFonts w:eastAsia="仿宋;CESI仿宋-GB13000" w:cs="仿宋;CESI仿宋-GB13000" w:ascii="仿宋;CESI仿宋-GB13000" w:hAnsi="仿宋;CESI仿宋-GB13000"/>
                <w:sz w:val="28"/>
                <w:szCs w:val="28"/>
              </w:rPr>
              <w:t>/</w:t>
            </w:r>
            <w:r>
              <w:rPr>
                <w:rFonts w:ascii="仿宋;CESI仿宋-GB13000" w:hAnsi="仿宋;CESI仿宋-GB13000" w:cs="仿宋;CESI仿宋-GB13000" w:eastAsia="仿宋;CESI仿宋-GB13000"/>
                <w:sz w:val="28"/>
                <w:szCs w:val="28"/>
              </w:rPr>
              <w:t>腐蚀性试验结果应为无刺激性</w:t>
            </w:r>
            <w:r>
              <w:rPr>
                <w:rFonts w:ascii="仿宋;CESI仿宋-GB13000" w:hAnsi="仿宋;CESI仿宋-GB13000" w:cs="仿宋;CESI仿宋-GB13000" w:eastAsia="仿宋;CESI仿宋-GB13000"/>
                <w:sz w:val="28"/>
                <w:szCs w:val="28"/>
                <w:lang w:eastAsia="zh-CN"/>
              </w:rPr>
              <w:t>。</w:t>
            </w:r>
          </w:p>
        </w:tc>
        <w:tc>
          <w:tcPr>
            <w:tcW w:w="2378"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360"/>
              <w:jc w:val="center"/>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t>□</w:t>
            </w:r>
            <w:r>
              <w:rPr>
                <w:rFonts w:ascii="仿宋_GB2312;方正仿宋_GBK" w:hAnsi="仿宋_GB2312;方正仿宋_GBK" w:cs="仿宋_GB2312;方正仿宋_GBK" w:eastAsia="仿宋_GB2312;方正仿宋_GBK"/>
                <w:sz w:val="28"/>
                <w:szCs w:val="28"/>
              </w:rPr>
              <w:t>符合 □不符合</w:t>
            </w:r>
          </w:p>
        </w:tc>
        <w:tc>
          <w:tcPr>
            <w:tcW w:w="85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360"/>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r>
          </w:p>
        </w:tc>
      </w:tr>
      <w:tr>
        <w:trPr>
          <w:trHeight w:val="90" w:hRule="atLeast"/>
        </w:trPr>
        <w:tc>
          <w:tcPr>
            <w:tcW w:w="79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Arial;DejaVu Sans" w:hAnsi="Arial;DejaVu Sans" w:eastAsia="方正仿宋_GB2312;方正仿宋_GBK" w:cs="仿宋_GB2312;方正仿宋_GBK"/>
                <w:sz w:val="28"/>
                <w:szCs w:val="28"/>
              </w:rPr>
            </w:pPr>
            <w:r>
              <w:rPr>
                <w:rFonts w:eastAsia="方正仿宋_GB2312;方正仿宋_GBK" w:cs="仿宋_GB2312;方正仿宋_GBK" w:ascii="Arial;DejaVu Sans" w:hAnsi="Arial;DejaVu Sans"/>
                <w:sz w:val="28"/>
                <w:szCs w:val="28"/>
              </w:rPr>
            </w:r>
          </w:p>
        </w:tc>
        <w:tc>
          <w:tcPr>
            <w:tcW w:w="2239" w:type="dxa"/>
            <w:vMerge w:val="continue"/>
            <w:tcBorders>
              <w:top w:val="single" w:sz="4" w:space="0" w:color="000000"/>
              <w:left w:val="single" w:sz="4" w:space="0" w:color="000000"/>
              <w:bottom w:val="single" w:sz="4" w:space="0" w:color="000000"/>
              <w:right w:val="single" w:sz="4" w:space="0" w:color="000000"/>
            </w:tcBorders>
            <w:vAlign w:val="center"/>
          </w:tcPr>
          <w:p>
            <w:pPr>
              <w:pStyle w:val="ListParagraph"/>
              <w:snapToGrid w:val="false"/>
              <w:spacing w:lineRule="exact" w:line="360" w:before="0" w:after="0"/>
              <w:ind w:hanging="0"/>
              <w:contextualSpacing/>
              <w:jc w:val="center"/>
              <w:rPr>
                <w:rFonts w:ascii="Arial;DejaVu Sans" w:hAnsi="Arial;DejaVu Sans" w:eastAsia="方正仿宋_GB2312;方正仿宋_GBK" w:cs="仿宋_GB2312;方正仿宋_GBK"/>
                <w:sz w:val="28"/>
                <w:szCs w:val="28"/>
              </w:rPr>
            </w:pPr>
            <w:r>
              <w:rPr>
                <w:rFonts w:eastAsia="方正仿宋_GB2312;方正仿宋_GBK" w:cs="仿宋_GB2312;方正仿宋_GBK" w:ascii="Arial;DejaVu Sans" w:hAnsi="Arial;DejaVu Sans"/>
                <w:sz w:val="28"/>
                <w:szCs w:val="28"/>
              </w:rPr>
            </w:r>
          </w:p>
        </w:tc>
        <w:tc>
          <w:tcPr>
            <w:tcW w:w="15026"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400"/>
              <w:jc w:val="left"/>
              <w:rPr>
                <w:rFonts w:ascii="仿宋;CESI仿宋-GB13000" w:hAnsi="仿宋;CESI仿宋-GB13000" w:eastAsia="仿宋;CESI仿宋-GB13000" w:cs="仿宋;CESI仿宋-GB13000"/>
                <w:sz w:val="28"/>
                <w:szCs w:val="28"/>
              </w:rPr>
            </w:pPr>
            <w:r>
              <w:rPr>
                <w:rFonts w:eastAsia="仿宋;CESI仿宋-GB13000" w:cs="仿宋;CESI仿宋-GB13000" w:ascii="仿宋;CESI仿宋-GB13000" w:hAnsi="仿宋;CESI仿宋-GB13000"/>
                <w:sz w:val="28"/>
                <w:szCs w:val="28"/>
                <w:lang w:val="en-US" w:eastAsia="zh-CN"/>
              </w:rPr>
              <w:t>8</w:t>
            </w:r>
            <w:r>
              <w:rPr>
                <w:rFonts w:eastAsia="仿宋;CESI仿宋-GB13000" w:cs="仿宋;CESI仿宋-GB13000" w:ascii="仿宋;CESI仿宋-GB13000" w:hAnsi="仿宋;CESI仿宋-GB13000"/>
                <w:sz w:val="28"/>
                <w:szCs w:val="28"/>
              </w:rPr>
              <w:t>.</w:t>
            </w:r>
            <w:r>
              <w:rPr>
                <w:rFonts w:ascii="仿宋;CESI仿宋-GB13000" w:hAnsi="仿宋;CESI仿宋-GB13000" w:cs="仿宋;CESI仿宋-GB13000" w:eastAsia="仿宋;CESI仿宋-GB13000"/>
                <w:sz w:val="28"/>
                <w:szCs w:val="28"/>
              </w:rPr>
              <w:t>产品检验报告中载明的产品信息应当与注册或者备案产品相关信息保持一致。由于更名等原因，导致检验报告中产品名称、企业名称等不影响检验结果的信息与注册备案信息不一致的，应当予以说明，并提交检验报告变更申请表和检验检测机构出具的补充检验报告或者更正函。</w:t>
            </w:r>
          </w:p>
        </w:tc>
        <w:tc>
          <w:tcPr>
            <w:tcW w:w="2378"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360"/>
              <w:jc w:val="center"/>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t>□</w:t>
            </w:r>
            <w:r>
              <w:rPr>
                <w:rFonts w:ascii="仿宋_GB2312;方正仿宋_GBK" w:hAnsi="仿宋_GB2312;方正仿宋_GBK" w:cs="仿宋_GB2312;方正仿宋_GBK" w:eastAsia="仿宋_GB2312;方正仿宋_GBK"/>
                <w:sz w:val="28"/>
                <w:szCs w:val="28"/>
              </w:rPr>
              <w:t>符合 □不符合</w:t>
            </w:r>
          </w:p>
        </w:tc>
        <w:tc>
          <w:tcPr>
            <w:tcW w:w="85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360"/>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r>
          </w:p>
        </w:tc>
      </w:tr>
      <w:tr>
        <w:trPr>
          <w:trHeight w:val="607" w:hRule="atLeast"/>
        </w:trPr>
        <w:tc>
          <w:tcPr>
            <w:tcW w:w="79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Arial;DejaVu Sans" w:hAnsi="Arial;DejaVu Sans" w:eastAsia="方正仿宋_GB2312;方正仿宋_GBK" w:cs="仿宋_GB2312;方正仿宋_GBK"/>
                <w:sz w:val="28"/>
                <w:szCs w:val="28"/>
              </w:rPr>
            </w:pPr>
            <w:r>
              <w:rPr>
                <w:rFonts w:eastAsia="方正仿宋_GB2312;方正仿宋_GBK" w:cs="仿宋_GB2312;方正仿宋_GBK" w:ascii="Arial;DejaVu Sans" w:hAnsi="Arial;DejaVu Sans"/>
                <w:sz w:val="28"/>
                <w:szCs w:val="28"/>
              </w:rPr>
            </w:r>
          </w:p>
        </w:tc>
        <w:tc>
          <w:tcPr>
            <w:tcW w:w="2239" w:type="dxa"/>
            <w:vMerge w:val="continue"/>
            <w:tcBorders>
              <w:top w:val="single" w:sz="4" w:space="0" w:color="000000"/>
              <w:left w:val="single" w:sz="4" w:space="0" w:color="000000"/>
              <w:bottom w:val="single" w:sz="4" w:space="0" w:color="000000"/>
              <w:right w:val="single" w:sz="4" w:space="0" w:color="000000"/>
            </w:tcBorders>
            <w:vAlign w:val="center"/>
          </w:tcPr>
          <w:p>
            <w:pPr>
              <w:pStyle w:val="ListParagraph"/>
              <w:snapToGrid w:val="false"/>
              <w:spacing w:lineRule="exact" w:line="360" w:before="0" w:after="0"/>
              <w:ind w:hanging="0"/>
              <w:contextualSpacing/>
              <w:jc w:val="center"/>
              <w:rPr>
                <w:rFonts w:ascii="Arial;DejaVu Sans" w:hAnsi="Arial;DejaVu Sans" w:eastAsia="方正仿宋_GB2312;方正仿宋_GBK" w:cs="仿宋_GB2312;方正仿宋_GBK"/>
                <w:sz w:val="28"/>
                <w:szCs w:val="28"/>
              </w:rPr>
            </w:pPr>
            <w:r>
              <w:rPr>
                <w:rFonts w:eastAsia="方正仿宋_GB2312;方正仿宋_GBK" w:cs="仿宋_GB2312;方正仿宋_GBK" w:ascii="Arial;DejaVu Sans" w:hAnsi="Arial;DejaVu Sans"/>
                <w:sz w:val="28"/>
                <w:szCs w:val="28"/>
              </w:rPr>
            </w:r>
          </w:p>
        </w:tc>
        <w:tc>
          <w:tcPr>
            <w:tcW w:w="15026"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400"/>
              <w:jc w:val="left"/>
              <w:rPr>
                <w:rFonts w:ascii="仿宋;CESI仿宋-GB13000" w:hAnsi="仿宋;CESI仿宋-GB13000" w:eastAsia="仿宋;CESI仿宋-GB13000" w:cs="仿宋;CESI仿宋-GB13000"/>
                <w:sz w:val="28"/>
                <w:szCs w:val="28"/>
              </w:rPr>
            </w:pPr>
            <w:r>
              <w:rPr>
                <w:rFonts w:eastAsia="仿宋;CESI仿宋-GB13000" w:cs="仿宋;CESI仿宋-GB13000" w:ascii="仿宋;CESI仿宋-GB13000" w:hAnsi="仿宋;CESI仿宋-GB13000"/>
                <w:sz w:val="28"/>
                <w:szCs w:val="28"/>
                <w:lang w:val="en-US" w:eastAsia="zh-CN"/>
              </w:rPr>
              <w:t>9</w:t>
            </w:r>
            <w:r>
              <w:rPr>
                <w:rFonts w:eastAsia="仿宋;CESI仿宋-GB13000" w:cs="仿宋;CESI仿宋-GB13000" w:ascii="仿宋;CESI仿宋-GB13000" w:hAnsi="仿宋;CESI仿宋-GB13000"/>
                <w:sz w:val="28"/>
                <w:szCs w:val="28"/>
              </w:rPr>
              <w:t>.</w:t>
            </w:r>
            <w:r>
              <w:rPr>
                <w:rFonts w:ascii="仿宋;CESI仿宋-GB13000" w:hAnsi="仿宋;CESI仿宋-GB13000" w:cs="仿宋;CESI仿宋-GB13000" w:eastAsia="仿宋;CESI仿宋-GB13000"/>
                <w:sz w:val="28"/>
                <w:szCs w:val="28"/>
              </w:rPr>
              <w:t>若一个样品包装内各部分为非独立包装，应当混合取样进行微生物检验，若产品为不同类别的彩妆组合，应分别检验。</w:t>
            </w:r>
          </w:p>
        </w:tc>
        <w:tc>
          <w:tcPr>
            <w:tcW w:w="2378"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360"/>
              <w:jc w:val="center"/>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t>□</w:t>
            </w:r>
            <w:r>
              <w:rPr>
                <w:rFonts w:ascii="仿宋_GB2312;方正仿宋_GBK" w:hAnsi="仿宋_GB2312;方正仿宋_GBK" w:cs="仿宋_GB2312;方正仿宋_GBK" w:eastAsia="仿宋_GB2312;方正仿宋_GBK"/>
                <w:sz w:val="28"/>
                <w:szCs w:val="28"/>
              </w:rPr>
              <w:t>符合 □不符合</w:t>
            </w:r>
          </w:p>
        </w:tc>
        <w:tc>
          <w:tcPr>
            <w:tcW w:w="85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360"/>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r>
          </w:p>
        </w:tc>
      </w:tr>
      <w:tr>
        <w:trPr>
          <w:trHeight w:val="101" w:hRule="atLeast"/>
        </w:trPr>
        <w:tc>
          <w:tcPr>
            <w:tcW w:w="79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exact" w:line="360"/>
              <w:jc w:val="center"/>
              <w:rPr>
                <w:rFonts w:ascii="Arial;DejaVu Sans" w:hAnsi="Arial;DejaVu Sans" w:eastAsia="方正仿宋_GB2312;方正仿宋_GBK" w:cs="仿宋_GB2312;方正仿宋_GBK"/>
                <w:sz w:val="28"/>
                <w:szCs w:val="28"/>
                <w:lang w:val="en-US" w:eastAsia="zh-CN"/>
              </w:rPr>
            </w:pPr>
            <w:r>
              <w:rPr>
                <w:rFonts w:eastAsia="方正仿宋_GB2312;方正仿宋_GBK" w:cs="仿宋_GB2312;方正仿宋_GBK" w:ascii="Arial;DejaVu Sans" w:hAnsi="Arial;DejaVu Sans"/>
                <w:sz w:val="28"/>
                <w:szCs w:val="28"/>
                <w:lang w:val="en-US" w:eastAsia="zh-CN"/>
              </w:rPr>
              <w:t>7</w:t>
            </w:r>
          </w:p>
        </w:tc>
        <w:tc>
          <w:tcPr>
            <w:tcW w:w="223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exact" w:line="360" w:before="0" w:after="0"/>
              <w:contextualSpacing/>
              <w:jc w:val="center"/>
              <w:rPr>
                <w:lang w:eastAsia="zh-CN"/>
              </w:rPr>
            </w:pPr>
            <w:r>
              <w:rPr>
                <w:rFonts w:ascii="Arial;DejaVu Sans" w:hAnsi="Arial;DejaVu Sans" w:cs="仿宋_GB2312;方正仿宋_GBK" w:eastAsia="方正仿宋_GB2312;方正仿宋_GBK"/>
                <w:sz w:val="28"/>
                <w:szCs w:val="28"/>
                <w:lang w:eastAsia="zh-CN"/>
              </w:rPr>
              <w:t>【</w:t>
            </w:r>
            <w:r>
              <w:rPr>
                <w:rFonts w:ascii="Arial;DejaVu Sans" w:hAnsi="Arial;DejaVu Sans" w:cs="仿宋_GB2312;方正仿宋_GBK" w:eastAsia="方正仿宋_GB2312;方正仿宋_GBK"/>
                <w:sz w:val="28"/>
                <w:szCs w:val="28"/>
              </w:rPr>
              <w:t>产品安全评估资料</w:t>
            </w:r>
            <w:r>
              <w:rPr>
                <w:rFonts w:ascii="Arial;DejaVu Sans" w:hAnsi="Arial;DejaVu Sans" w:cs="仿宋_GB2312;方正仿宋_GBK" w:eastAsia="方正仿宋_GB2312;方正仿宋_GBK"/>
                <w:sz w:val="28"/>
                <w:szCs w:val="28"/>
                <w:lang w:eastAsia="zh-CN"/>
              </w:rPr>
              <w:t>】</w:t>
            </w:r>
          </w:p>
        </w:tc>
        <w:tc>
          <w:tcPr>
            <w:tcW w:w="15026"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400"/>
              <w:jc w:val="left"/>
              <w:rPr>
                <w:rFonts w:ascii="仿宋;CESI仿宋-GB13000" w:hAnsi="仿宋;CESI仿宋-GB13000" w:eastAsia="仿宋;CESI仿宋-GB13000" w:cs="仿宋;CESI仿宋-GB13000"/>
                <w:sz w:val="28"/>
                <w:szCs w:val="28"/>
                <w:lang w:val="en-US" w:eastAsia="zh-CN"/>
              </w:rPr>
            </w:pPr>
            <w:r>
              <w:rPr>
                <w:rFonts w:eastAsia="仿宋;CESI仿宋-GB13000" w:cs="仿宋;CESI仿宋-GB13000" w:ascii="仿宋;CESI仿宋-GB13000" w:hAnsi="仿宋;CESI仿宋-GB13000"/>
                <w:sz w:val="28"/>
                <w:szCs w:val="28"/>
                <w:lang w:val="en-US" w:eastAsia="zh-CN"/>
              </w:rPr>
              <w:t>1</w:t>
            </w:r>
            <w:r>
              <w:rPr>
                <w:rFonts w:eastAsia="仿宋;CESI仿宋-GB13000" w:cs="仿宋;CESI仿宋-GB13000" w:ascii="仿宋;CESI仿宋-GB13000" w:hAnsi="仿宋;CESI仿宋-GB13000"/>
                <w:sz w:val="28"/>
                <w:szCs w:val="28"/>
              </w:rPr>
              <w:t>.</w:t>
            </w:r>
            <w:r>
              <w:rPr>
                <w:rFonts w:ascii="仿宋;CESI仿宋-GB13000" w:hAnsi="仿宋;CESI仿宋-GB13000" w:cs="仿宋;CESI仿宋-GB13000" w:eastAsia="仿宋;CESI仿宋-GB13000"/>
                <w:sz w:val="28"/>
                <w:szCs w:val="28"/>
              </w:rPr>
              <w:t>化妆品备案人应自行或委托专业机构开展安全评估，形成安全评估报告，并对其真实性、科学性负责。自行开展安全评估的，评估人员简历、安全评估报告及其相关的证据材料均应逐页加盖备案人公章或骑缝章，检验机构出具的检验报告除外。委托安全评估机构开展安全评估形成的安全评估报告除加盖备案人公章外，还应加盖对应的机构公章和备案人公章。</w:t>
            </w:r>
          </w:p>
        </w:tc>
        <w:tc>
          <w:tcPr>
            <w:tcW w:w="2378"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360"/>
              <w:jc w:val="center"/>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t>□</w:t>
            </w:r>
            <w:r>
              <w:rPr>
                <w:rFonts w:ascii="仿宋_GB2312;方正仿宋_GBK" w:hAnsi="仿宋_GB2312;方正仿宋_GBK" w:cs="仿宋_GB2312;方正仿宋_GBK" w:eastAsia="仿宋_GB2312;方正仿宋_GBK"/>
                <w:sz w:val="28"/>
                <w:szCs w:val="28"/>
              </w:rPr>
              <w:t>符合 □不符合</w:t>
            </w:r>
          </w:p>
        </w:tc>
        <w:tc>
          <w:tcPr>
            <w:tcW w:w="850"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360"/>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r>
          </w:p>
        </w:tc>
      </w:tr>
      <w:tr>
        <w:trPr>
          <w:trHeight w:val="101" w:hRule="atLeast"/>
        </w:trPr>
        <w:tc>
          <w:tcPr>
            <w:tcW w:w="790" w:type="dxa"/>
            <w:vMerge w:val="continue"/>
            <w:tcBorders>
              <w:top w:val="single" w:sz="4" w:space="0" w:color="000000"/>
              <w:left w:val="single" w:sz="4" w:space="0" w:color="000000"/>
              <w:bottom w:val="single" w:sz="4" w:space="0" w:color="000000"/>
              <w:right w:val="single" w:sz="4" w:space="0" w:color="000000"/>
            </w:tcBorders>
            <w:vAlign w:val="center"/>
          </w:tcPr>
          <w:p>
            <w:pPr>
              <w:pStyle w:val="ListParagraph"/>
              <w:overflowPunct w:val="false"/>
              <w:snapToGrid w:val="false"/>
              <w:spacing w:lineRule="exact" w:line="400"/>
              <w:ind w:hanging="0"/>
              <w:jc w:val="center"/>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r>
          </w:p>
        </w:tc>
        <w:tc>
          <w:tcPr>
            <w:tcW w:w="2239" w:type="dxa"/>
            <w:vMerge w:val="continue"/>
            <w:tcBorders>
              <w:top w:val="single" w:sz="4" w:space="0" w:color="000000"/>
              <w:left w:val="single" w:sz="4" w:space="0" w:color="000000"/>
              <w:bottom w:val="single" w:sz="4" w:space="0" w:color="000000"/>
              <w:right w:val="single" w:sz="4" w:space="0" w:color="000000"/>
            </w:tcBorders>
            <w:vAlign w:val="center"/>
          </w:tcPr>
          <w:p>
            <w:pPr>
              <w:pStyle w:val="ListParagraph"/>
              <w:overflowPunct w:val="false"/>
              <w:snapToGrid w:val="false"/>
              <w:spacing w:lineRule="exact" w:line="400"/>
              <w:ind w:hanging="0"/>
              <w:jc w:val="center"/>
              <w:rPr/>
            </w:pPr>
            <w:r>
              <w:rPr/>
            </w:r>
          </w:p>
        </w:tc>
        <w:tc>
          <w:tcPr>
            <w:tcW w:w="15026"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400"/>
              <w:jc w:val="left"/>
              <w:rPr>
                <w:rFonts w:ascii="仿宋;CESI仿宋-GB13000" w:hAnsi="仿宋;CESI仿宋-GB13000" w:eastAsia="仿宋;CESI仿宋-GB13000" w:cs="仿宋;CESI仿宋-GB13000"/>
                <w:sz w:val="28"/>
                <w:szCs w:val="28"/>
                <w:lang w:val="en-US" w:eastAsia="zh-CN"/>
              </w:rPr>
            </w:pPr>
            <w:r>
              <w:rPr>
                <w:rFonts w:eastAsia="仿宋;CESI仿宋-GB13000" w:cs="仿宋;CESI仿宋-GB13000" w:ascii="仿宋;CESI仿宋-GB13000" w:hAnsi="仿宋;CESI仿宋-GB13000"/>
                <w:sz w:val="28"/>
                <w:szCs w:val="28"/>
                <w:lang w:val="en-US" w:eastAsia="zh-CN"/>
              </w:rPr>
              <w:t>2</w:t>
            </w:r>
            <w:r>
              <w:rPr>
                <w:rFonts w:eastAsia="仿宋;CESI仿宋-GB13000" w:cs="仿宋;CESI仿宋-GB13000" w:ascii="仿宋;CESI仿宋-GB13000" w:hAnsi="仿宋;CESI仿宋-GB13000"/>
                <w:sz w:val="28"/>
                <w:szCs w:val="28"/>
              </w:rPr>
              <w:t>.</w:t>
            </w:r>
            <w:r>
              <w:rPr>
                <w:rFonts w:ascii="仿宋;CESI仿宋-GB13000" w:hAnsi="仿宋;CESI仿宋-GB13000" w:cs="仿宋;CESI仿宋-GB13000" w:eastAsia="仿宋;CESI仿宋-GB13000"/>
                <w:sz w:val="28"/>
                <w:szCs w:val="28"/>
              </w:rPr>
              <w:t>评估人员的简历应附在评估报告之后，简历内容应包括评估人员的教育经历、化妆品相关从业经历、专业培训经历等</w:t>
            </w:r>
            <w:r>
              <w:rPr>
                <w:rFonts w:ascii="仿宋;CESI仿宋-GB13000" w:hAnsi="仿宋;CESI仿宋-GB13000" w:cs="仿宋;CESI仿宋-GB13000" w:eastAsia="仿宋;CESI仿宋-GB13000"/>
                <w:sz w:val="28"/>
                <w:szCs w:val="28"/>
                <w:lang w:eastAsia="zh-CN"/>
              </w:rPr>
              <w:t>，</w:t>
            </w:r>
            <w:r>
              <w:rPr>
                <w:rFonts w:ascii="仿宋;CESI仿宋-GB13000" w:hAnsi="仿宋;CESI仿宋-GB13000" w:cs="仿宋;CESI仿宋-GB13000" w:eastAsia="仿宋;CESI仿宋-GB13000"/>
                <w:sz w:val="28"/>
                <w:szCs w:val="28"/>
              </w:rPr>
              <w:t>反映安评人员具备条例和《化妆品安全评估技术导则（</w:t>
            </w:r>
            <w:r>
              <w:rPr>
                <w:rFonts w:eastAsia="仿宋;CESI仿宋-GB13000" w:cs="仿宋;CESI仿宋-GB13000" w:ascii="仿宋;CESI仿宋-GB13000" w:hAnsi="仿宋;CESI仿宋-GB13000"/>
                <w:sz w:val="28"/>
                <w:szCs w:val="28"/>
              </w:rPr>
              <w:t>2021</w:t>
            </w:r>
            <w:r>
              <w:rPr>
                <w:rFonts w:ascii="仿宋;CESI仿宋-GB13000" w:hAnsi="仿宋;CESI仿宋-GB13000" w:cs="仿宋;CESI仿宋-GB13000" w:eastAsia="仿宋;CESI仿宋-GB13000"/>
                <w:sz w:val="28"/>
                <w:szCs w:val="28"/>
              </w:rPr>
              <w:t>年版）》所要求能力。</w:t>
            </w:r>
          </w:p>
        </w:tc>
        <w:tc>
          <w:tcPr>
            <w:tcW w:w="2378"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360"/>
              <w:jc w:val="center"/>
              <w:rPr>
                <w:rFonts w:ascii="仿宋;CESI仿宋-GB13000" w:hAnsi="仿宋;CESI仿宋-GB13000" w:eastAsia="仿宋;CESI仿宋-GB13000" w:cs="仿宋;CESI仿宋-GB13000"/>
                <w:sz w:val="28"/>
                <w:szCs w:val="28"/>
                <w:lang w:val="en-US" w:eastAsia="zh-CN"/>
              </w:rPr>
            </w:pPr>
            <w:r>
              <w:rPr>
                <w:rFonts w:eastAsia="仿宋_GB2312;方正仿宋_GBK" w:cs="仿宋_GB2312;方正仿宋_GBK" w:ascii="仿宋_GB2312;方正仿宋_GBK" w:hAnsi="仿宋_GB2312;方正仿宋_GBK"/>
                <w:sz w:val="28"/>
                <w:szCs w:val="28"/>
              </w:rPr>
              <w:t>□</w:t>
            </w:r>
            <w:r>
              <w:rPr>
                <w:rFonts w:ascii="仿宋_GB2312;方正仿宋_GBK" w:hAnsi="仿宋_GB2312;方正仿宋_GBK" w:cs="仿宋_GB2312;方正仿宋_GBK" w:eastAsia="仿宋_GB2312;方正仿宋_GBK"/>
                <w:sz w:val="28"/>
                <w:szCs w:val="28"/>
              </w:rPr>
              <w:t>符合 □不符合</w:t>
            </w:r>
          </w:p>
        </w:tc>
        <w:tc>
          <w:tcPr>
            <w:tcW w:w="850" w:type="dxa"/>
            <w:vMerge w:val="continue"/>
            <w:tcBorders>
              <w:top w:val="single" w:sz="4" w:space="0" w:color="000000"/>
              <w:left w:val="single" w:sz="4" w:space="0" w:color="000000"/>
              <w:bottom w:val="single" w:sz="4" w:space="0" w:color="000000"/>
              <w:right w:val="single" w:sz="4" w:space="0" w:color="000000"/>
            </w:tcBorders>
          </w:tcPr>
          <w:p>
            <w:pPr>
              <w:pStyle w:val="ListParagraph"/>
              <w:overflowPunct w:val="false"/>
              <w:snapToGrid w:val="false"/>
              <w:spacing w:lineRule="exact" w:line="400"/>
              <w:ind w:hanging="0"/>
              <w:jc w:val="left"/>
              <w:rPr>
                <w:rFonts w:ascii="仿宋;CESI仿宋-GB13000" w:hAnsi="仿宋;CESI仿宋-GB13000" w:eastAsia="仿宋;CESI仿宋-GB13000" w:cs="仿宋;CESI仿宋-GB13000"/>
                <w:sz w:val="28"/>
                <w:szCs w:val="28"/>
                <w:lang w:val="en-US" w:eastAsia="zh-CN"/>
              </w:rPr>
            </w:pPr>
            <w:r>
              <w:rPr>
                <w:rFonts w:eastAsia="仿宋;CESI仿宋-GB13000" w:cs="仿宋;CESI仿宋-GB13000" w:ascii="仿宋;CESI仿宋-GB13000" w:hAnsi="仿宋;CESI仿宋-GB13000"/>
                <w:sz w:val="28"/>
                <w:szCs w:val="28"/>
                <w:lang w:val="en-US" w:eastAsia="zh-CN"/>
              </w:rPr>
            </w:r>
          </w:p>
        </w:tc>
      </w:tr>
      <w:tr>
        <w:trPr>
          <w:trHeight w:val="101" w:hRule="atLeast"/>
        </w:trPr>
        <w:tc>
          <w:tcPr>
            <w:tcW w:w="790" w:type="dxa"/>
            <w:vMerge w:val="continue"/>
            <w:tcBorders>
              <w:top w:val="single" w:sz="4" w:space="0" w:color="000000"/>
              <w:left w:val="single" w:sz="4" w:space="0" w:color="000000"/>
              <w:bottom w:val="single" w:sz="4" w:space="0" w:color="000000"/>
              <w:right w:val="single" w:sz="4" w:space="0" w:color="000000"/>
            </w:tcBorders>
            <w:vAlign w:val="center"/>
          </w:tcPr>
          <w:p>
            <w:pPr>
              <w:pStyle w:val="ListParagraph"/>
              <w:overflowPunct w:val="false"/>
              <w:snapToGrid w:val="false"/>
              <w:spacing w:lineRule="exact" w:line="400"/>
              <w:ind w:hanging="0"/>
              <w:jc w:val="center"/>
              <w:rPr>
                <w:rFonts w:ascii="仿宋;CESI仿宋-GB13000" w:hAnsi="仿宋;CESI仿宋-GB13000" w:eastAsia="仿宋;CESI仿宋-GB13000" w:cs="仿宋;CESI仿宋-GB13000"/>
                <w:sz w:val="28"/>
                <w:szCs w:val="28"/>
                <w:lang w:val="en-US" w:eastAsia="zh-CN"/>
              </w:rPr>
            </w:pPr>
            <w:r>
              <w:rPr>
                <w:rFonts w:eastAsia="仿宋;CESI仿宋-GB13000" w:cs="仿宋;CESI仿宋-GB13000" w:ascii="仿宋;CESI仿宋-GB13000" w:hAnsi="仿宋;CESI仿宋-GB13000"/>
                <w:sz w:val="28"/>
                <w:szCs w:val="28"/>
                <w:lang w:val="en-US" w:eastAsia="zh-CN"/>
              </w:rPr>
            </w:r>
          </w:p>
        </w:tc>
        <w:tc>
          <w:tcPr>
            <w:tcW w:w="2239" w:type="dxa"/>
            <w:vMerge w:val="continue"/>
            <w:tcBorders>
              <w:top w:val="single" w:sz="4" w:space="0" w:color="000000"/>
              <w:left w:val="single" w:sz="4" w:space="0" w:color="000000"/>
              <w:bottom w:val="single" w:sz="4" w:space="0" w:color="000000"/>
              <w:right w:val="single" w:sz="4" w:space="0" w:color="000000"/>
            </w:tcBorders>
            <w:vAlign w:val="center"/>
          </w:tcPr>
          <w:p>
            <w:pPr>
              <w:pStyle w:val="ListParagraph"/>
              <w:overflowPunct w:val="false"/>
              <w:snapToGrid w:val="false"/>
              <w:spacing w:lineRule="exact" w:line="400"/>
              <w:ind w:hanging="0"/>
              <w:jc w:val="center"/>
              <w:rPr>
                <w:rFonts w:ascii="仿宋;CESI仿宋-GB13000" w:hAnsi="仿宋;CESI仿宋-GB13000" w:eastAsia="仿宋;CESI仿宋-GB13000" w:cs="仿宋;CESI仿宋-GB13000"/>
                <w:sz w:val="28"/>
                <w:szCs w:val="28"/>
                <w:lang w:val="en-US" w:eastAsia="zh-CN"/>
              </w:rPr>
            </w:pPr>
            <w:r>
              <w:rPr>
                <w:rFonts w:eastAsia="仿宋;CESI仿宋-GB13000" w:cs="仿宋;CESI仿宋-GB13000" w:ascii="仿宋;CESI仿宋-GB13000" w:hAnsi="仿宋;CESI仿宋-GB13000"/>
                <w:sz w:val="28"/>
                <w:szCs w:val="28"/>
                <w:lang w:val="en-US" w:eastAsia="zh-CN"/>
              </w:rPr>
            </w:r>
          </w:p>
        </w:tc>
        <w:tc>
          <w:tcPr>
            <w:tcW w:w="15026"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400"/>
              <w:jc w:val="left"/>
              <w:rPr>
                <w:rFonts w:ascii="仿宋;CESI仿宋-GB13000" w:hAnsi="仿宋;CESI仿宋-GB13000" w:eastAsia="仿宋;CESI仿宋-GB13000" w:cs="仿宋;CESI仿宋-GB13000"/>
                <w:sz w:val="28"/>
                <w:szCs w:val="28"/>
                <w:lang w:val="en-US" w:eastAsia="zh-CN"/>
              </w:rPr>
            </w:pPr>
            <w:r>
              <w:rPr>
                <w:rFonts w:eastAsia="仿宋;CESI仿宋-GB13000" w:cs="仿宋;CESI仿宋-GB13000" w:ascii="仿宋;CESI仿宋-GB13000" w:hAnsi="仿宋;CESI仿宋-GB13000"/>
                <w:sz w:val="28"/>
                <w:szCs w:val="28"/>
                <w:lang w:val="en-US" w:eastAsia="zh-CN"/>
              </w:rPr>
              <w:t>3</w:t>
            </w:r>
            <w:r>
              <w:rPr>
                <w:rFonts w:eastAsia="仿宋;CESI仿宋-GB13000" w:cs="仿宋;CESI仿宋-GB13000" w:ascii="仿宋;CESI仿宋-GB13000" w:hAnsi="仿宋;CESI仿宋-GB13000"/>
                <w:sz w:val="28"/>
                <w:szCs w:val="28"/>
              </w:rPr>
              <w:t>.</w:t>
            </w:r>
            <w:r>
              <w:rPr>
                <w:rFonts w:ascii="仿宋;CESI仿宋-GB13000" w:hAnsi="仿宋;CESI仿宋-GB13000" w:cs="仿宋;CESI仿宋-GB13000" w:eastAsia="仿宋;CESI仿宋-GB13000"/>
                <w:sz w:val="28"/>
                <w:szCs w:val="28"/>
              </w:rPr>
              <w:t>必须配合仪器或者工具（仅辅助涂擦的毛刷、气垫、烫发工具等除外）使用的化妆品，应当评估配合仪器或者工具使用条件下的安全性；并应当提供在产品使用过程中仪器或者工具是否具有化妆品功能，是否参与化妆品的再生产过程，是否改变产品与皮肤的作用机理等情况的说明资料。</w:t>
            </w:r>
          </w:p>
        </w:tc>
        <w:tc>
          <w:tcPr>
            <w:tcW w:w="2378"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360"/>
              <w:jc w:val="center"/>
              <w:rPr>
                <w:rFonts w:ascii="仿宋;CESI仿宋-GB13000" w:hAnsi="仿宋;CESI仿宋-GB13000" w:eastAsia="仿宋;CESI仿宋-GB13000" w:cs="仿宋;CESI仿宋-GB13000"/>
                <w:sz w:val="28"/>
                <w:szCs w:val="28"/>
                <w:lang w:val="en-US" w:eastAsia="zh-CN"/>
              </w:rPr>
            </w:pPr>
            <w:r>
              <w:rPr>
                <w:rFonts w:eastAsia="仿宋_GB2312;方正仿宋_GBK" w:cs="仿宋_GB2312;方正仿宋_GBK" w:ascii="仿宋_GB2312;方正仿宋_GBK" w:hAnsi="仿宋_GB2312;方正仿宋_GBK"/>
                <w:sz w:val="28"/>
                <w:szCs w:val="28"/>
                <w:lang w:eastAsia="zh-CN"/>
              </w:rPr>
              <w:t>□</w:t>
            </w:r>
            <w:r>
              <w:rPr>
                <w:rFonts w:ascii="仿宋_GB2312;方正仿宋_GBK" w:hAnsi="仿宋_GB2312;方正仿宋_GBK" w:cs="仿宋_GB2312;方正仿宋_GBK" w:eastAsia="仿宋_GB2312;方正仿宋_GBK"/>
                <w:sz w:val="28"/>
                <w:szCs w:val="28"/>
              </w:rPr>
              <w:t>符合 □不符合</w:t>
            </w:r>
          </w:p>
        </w:tc>
        <w:tc>
          <w:tcPr>
            <w:tcW w:w="850" w:type="dxa"/>
            <w:vMerge w:val="continue"/>
            <w:tcBorders>
              <w:top w:val="single" w:sz="4" w:space="0" w:color="000000"/>
              <w:left w:val="single" w:sz="4" w:space="0" w:color="000000"/>
              <w:bottom w:val="single" w:sz="4" w:space="0" w:color="000000"/>
              <w:right w:val="single" w:sz="4" w:space="0" w:color="000000"/>
            </w:tcBorders>
          </w:tcPr>
          <w:p>
            <w:pPr>
              <w:pStyle w:val="ListParagraph"/>
              <w:overflowPunct w:val="false"/>
              <w:snapToGrid w:val="false"/>
              <w:spacing w:lineRule="exact" w:line="400"/>
              <w:ind w:hanging="0"/>
              <w:jc w:val="left"/>
              <w:rPr>
                <w:rFonts w:ascii="仿宋;CESI仿宋-GB13000" w:hAnsi="仿宋;CESI仿宋-GB13000" w:eastAsia="仿宋;CESI仿宋-GB13000" w:cs="仿宋;CESI仿宋-GB13000"/>
                <w:sz w:val="28"/>
                <w:szCs w:val="28"/>
                <w:lang w:val="en-US" w:eastAsia="zh-CN"/>
              </w:rPr>
            </w:pPr>
            <w:r>
              <w:rPr>
                <w:rFonts w:eastAsia="仿宋;CESI仿宋-GB13000" w:cs="仿宋;CESI仿宋-GB13000" w:ascii="仿宋;CESI仿宋-GB13000" w:hAnsi="仿宋;CESI仿宋-GB13000"/>
                <w:sz w:val="28"/>
                <w:szCs w:val="28"/>
                <w:lang w:val="en-US" w:eastAsia="zh-CN"/>
              </w:rPr>
            </w:r>
          </w:p>
        </w:tc>
      </w:tr>
      <w:tr>
        <w:trPr>
          <w:trHeight w:val="101" w:hRule="atLeast"/>
        </w:trPr>
        <w:tc>
          <w:tcPr>
            <w:tcW w:w="790" w:type="dxa"/>
            <w:vMerge w:val="continue"/>
            <w:tcBorders>
              <w:top w:val="single" w:sz="4" w:space="0" w:color="000000"/>
              <w:left w:val="single" w:sz="4" w:space="0" w:color="000000"/>
              <w:bottom w:val="single" w:sz="4" w:space="0" w:color="000000"/>
              <w:right w:val="single" w:sz="4" w:space="0" w:color="000000"/>
            </w:tcBorders>
            <w:vAlign w:val="center"/>
          </w:tcPr>
          <w:p>
            <w:pPr>
              <w:pStyle w:val="ListParagraph"/>
              <w:overflowPunct w:val="false"/>
              <w:snapToGrid w:val="false"/>
              <w:spacing w:lineRule="exact" w:line="400"/>
              <w:ind w:hanging="0"/>
              <w:jc w:val="center"/>
              <w:rPr>
                <w:rFonts w:ascii="仿宋;CESI仿宋-GB13000" w:hAnsi="仿宋;CESI仿宋-GB13000" w:eastAsia="仿宋;CESI仿宋-GB13000" w:cs="仿宋;CESI仿宋-GB13000"/>
                <w:sz w:val="28"/>
                <w:szCs w:val="28"/>
                <w:lang w:val="en-US" w:eastAsia="zh-CN"/>
              </w:rPr>
            </w:pPr>
            <w:r>
              <w:rPr>
                <w:rFonts w:eastAsia="仿宋;CESI仿宋-GB13000" w:cs="仿宋;CESI仿宋-GB13000" w:ascii="仿宋;CESI仿宋-GB13000" w:hAnsi="仿宋;CESI仿宋-GB13000"/>
                <w:sz w:val="28"/>
                <w:szCs w:val="28"/>
                <w:lang w:val="en-US" w:eastAsia="zh-CN"/>
              </w:rPr>
            </w:r>
          </w:p>
        </w:tc>
        <w:tc>
          <w:tcPr>
            <w:tcW w:w="2239" w:type="dxa"/>
            <w:vMerge w:val="continue"/>
            <w:tcBorders>
              <w:top w:val="single" w:sz="4" w:space="0" w:color="000000"/>
              <w:left w:val="single" w:sz="4" w:space="0" w:color="000000"/>
              <w:bottom w:val="single" w:sz="4" w:space="0" w:color="000000"/>
              <w:right w:val="single" w:sz="4" w:space="0" w:color="000000"/>
            </w:tcBorders>
            <w:vAlign w:val="center"/>
          </w:tcPr>
          <w:p>
            <w:pPr>
              <w:pStyle w:val="ListParagraph"/>
              <w:overflowPunct w:val="false"/>
              <w:snapToGrid w:val="false"/>
              <w:spacing w:lineRule="exact" w:line="400"/>
              <w:ind w:hanging="0"/>
              <w:jc w:val="center"/>
              <w:rPr>
                <w:rFonts w:ascii="仿宋;CESI仿宋-GB13000" w:hAnsi="仿宋;CESI仿宋-GB13000" w:eastAsia="仿宋;CESI仿宋-GB13000" w:cs="仿宋;CESI仿宋-GB13000"/>
                <w:sz w:val="28"/>
                <w:szCs w:val="28"/>
                <w:lang w:val="en-US" w:eastAsia="zh-CN"/>
              </w:rPr>
            </w:pPr>
            <w:r>
              <w:rPr>
                <w:rFonts w:eastAsia="仿宋;CESI仿宋-GB13000" w:cs="仿宋;CESI仿宋-GB13000" w:ascii="仿宋;CESI仿宋-GB13000" w:hAnsi="仿宋;CESI仿宋-GB13000"/>
                <w:sz w:val="28"/>
                <w:szCs w:val="28"/>
                <w:lang w:val="en-US" w:eastAsia="zh-CN"/>
              </w:rPr>
            </w:r>
          </w:p>
        </w:tc>
        <w:tc>
          <w:tcPr>
            <w:tcW w:w="15026"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400"/>
              <w:jc w:val="left"/>
              <w:rPr>
                <w:rFonts w:ascii="仿宋;CESI仿宋-GB13000" w:hAnsi="仿宋;CESI仿宋-GB13000" w:eastAsia="仿宋;CESI仿宋-GB13000" w:cs="仿宋;CESI仿宋-GB13000"/>
                <w:sz w:val="28"/>
                <w:szCs w:val="28"/>
                <w:lang w:val="en-US" w:eastAsia="zh-CN"/>
              </w:rPr>
            </w:pPr>
            <w:r>
              <w:rPr>
                <w:rFonts w:eastAsia="仿宋;CESI仿宋-GB13000" w:cs="仿宋;CESI仿宋-GB13000" w:ascii="仿宋;CESI仿宋-GB13000" w:hAnsi="仿宋;CESI仿宋-GB13000"/>
                <w:sz w:val="28"/>
                <w:szCs w:val="28"/>
                <w:lang w:val="en-US" w:eastAsia="zh-CN"/>
              </w:rPr>
              <w:t>4</w:t>
            </w:r>
            <w:r>
              <w:rPr>
                <w:rFonts w:eastAsia="仿宋;CESI仿宋-GB13000" w:cs="仿宋;CESI仿宋-GB13000" w:ascii="仿宋;CESI仿宋-GB13000" w:hAnsi="仿宋;CESI仿宋-GB13000"/>
                <w:sz w:val="28"/>
                <w:szCs w:val="28"/>
              </w:rPr>
              <w:t>.</w:t>
            </w:r>
            <w:r>
              <w:rPr>
                <w:rFonts w:ascii="仿宋;CESI仿宋-GB13000" w:hAnsi="仿宋;CESI仿宋-GB13000" w:cs="仿宋;CESI仿宋-GB13000" w:eastAsia="仿宋;CESI仿宋-GB13000"/>
                <w:sz w:val="28"/>
                <w:szCs w:val="28"/>
              </w:rPr>
              <w:t>安全评估的产品名称应当与备案产品名称一致。评估摘要、安全评估报告中的配方及涉及的成分含量应当与产品配方中的成分含量一致。</w:t>
            </w:r>
          </w:p>
        </w:tc>
        <w:tc>
          <w:tcPr>
            <w:tcW w:w="2378"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360"/>
              <w:jc w:val="center"/>
              <w:rPr>
                <w:rFonts w:ascii="仿宋;CESI仿宋-GB13000" w:hAnsi="仿宋;CESI仿宋-GB13000" w:eastAsia="仿宋;CESI仿宋-GB13000" w:cs="仿宋;CESI仿宋-GB13000"/>
                <w:sz w:val="28"/>
                <w:szCs w:val="28"/>
                <w:lang w:val="en-US" w:eastAsia="zh-CN"/>
              </w:rPr>
            </w:pPr>
            <w:r>
              <w:rPr>
                <w:rFonts w:eastAsia="仿宋_GB2312;方正仿宋_GBK" w:cs="仿宋_GB2312;方正仿宋_GBK" w:ascii="仿宋_GB2312;方正仿宋_GBK" w:hAnsi="仿宋_GB2312;方正仿宋_GBK"/>
                <w:sz w:val="28"/>
                <w:szCs w:val="28"/>
              </w:rPr>
              <w:t>□</w:t>
            </w:r>
            <w:r>
              <w:rPr>
                <w:rFonts w:ascii="仿宋_GB2312;方正仿宋_GBK" w:hAnsi="仿宋_GB2312;方正仿宋_GBK" w:cs="仿宋_GB2312;方正仿宋_GBK" w:eastAsia="仿宋_GB2312;方正仿宋_GBK"/>
                <w:sz w:val="28"/>
                <w:szCs w:val="28"/>
              </w:rPr>
              <w:t>符合 □不符合</w:t>
            </w:r>
          </w:p>
        </w:tc>
        <w:tc>
          <w:tcPr>
            <w:tcW w:w="850" w:type="dxa"/>
            <w:vMerge w:val="continue"/>
            <w:tcBorders>
              <w:top w:val="single" w:sz="4" w:space="0" w:color="000000"/>
              <w:left w:val="single" w:sz="4" w:space="0" w:color="000000"/>
              <w:bottom w:val="single" w:sz="4" w:space="0" w:color="000000"/>
              <w:right w:val="single" w:sz="4" w:space="0" w:color="000000"/>
            </w:tcBorders>
          </w:tcPr>
          <w:p>
            <w:pPr>
              <w:pStyle w:val="ListParagraph"/>
              <w:overflowPunct w:val="false"/>
              <w:snapToGrid w:val="false"/>
              <w:spacing w:lineRule="exact" w:line="400"/>
              <w:ind w:hanging="0"/>
              <w:jc w:val="left"/>
              <w:rPr>
                <w:rFonts w:ascii="仿宋;CESI仿宋-GB13000" w:hAnsi="仿宋;CESI仿宋-GB13000" w:eastAsia="仿宋;CESI仿宋-GB13000" w:cs="仿宋;CESI仿宋-GB13000"/>
                <w:sz w:val="28"/>
                <w:szCs w:val="28"/>
                <w:lang w:val="en-US" w:eastAsia="zh-CN"/>
              </w:rPr>
            </w:pPr>
            <w:r>
              <w:rPr>
                <w:rFonts w:eastAsia="仿宋;CESI仿宋-GB13000" w:cs="仿宋;CESI仿宋-GB13000" w:ascii="仿宋;CESI仿宋-GB13000" w:hAnsi="仿宋;CESI仿宋-GB13000"/>
                <w:sz w:val="28"/>
                <w:szCs w:val="28"/>
                <w:lang w:val="en-US" w:eastAsia="zh-CN"/>
              </w:rPr>
            </w:r>
          </w:p>
        </w:tc>
      </w:tr>
      <w:tr>
        <w:trPr>
          <w:trHeight w:val="101" w:hRule="atLeast"/>
        </w:trPr>
        <w:tc>
          <w:tcPr>
            <w:tcW w:w="790" w:type="dxa"/>
            <w:vMerge w:val="continue"/>
            <w:tcBorders>
              <w:top w:val="single" w:sz="4" w:space="0" w:color="000000"/>
              <w:left w:val="single" w:sz="4" w:space="0" w:color="000000"/>
              <w:bottom w:val="single" w:sz="4" w:space="0" w:color="000000"/>
              <w:right w:val="single" w:sz="4" w:space="0" w:color="000000"/>
            </w:tcBorders>
            <w:vAlign w:val="center"/>
          </w:tcPr>
          <w:p>
            <w:pPr>
              <w:pStyle w:val="ListParagraph"/>
              <w:overflowPunct w:val="false"/>
              <w:snapToGrid w:val="false"/>
              <w:spacing w:lineRule="exact" w:line="400"/>
              <w:ind w:hanging="0"/>
              <w:jc w:val="center"/>
              <w:rPr>
                <w:rFonts w:ascii="仿宋;CESI仿宋-GB13000" w:hAnsi="仿宋;CESI仿宋-GB13000" w:eastAsia="仿宋;CESI仿宋-GB13000" w:cs="仿宋;CESI仿宋-GB13000"/>
                <w:sz w:val="28"/>
                <w:szCs w:val="28"/>
                <w:lang w:val="en-US" w:eastAsia="zh-CN"/>
              </w:rPr>
            </w:pPr>
            <w:r>
              <w:rPr>
                <w:rFonts w:eastAsia="仿宋;CESI仿宋-GB13000" w:cs="仿宋;CESI仿宋-GB13000" w:ascii="仿宋;CESI仿宋-GB13000" w:hAnsi="仿宋;CESI仿宋-GB13000"/>
                <w:sz w:val="28"/>
                <w:szCs w:val="28"/>
                <w:lang w:val="en-US" w:eastAsia="zh-CN"/>
              </w:rPr>
            </w:r>
          </w:p>
        </w:tc>
        <w:tc>
          <w:tcPr>
            <w:tcW w:w="2239" w:type="dxa"/>
            <w:vMerge w:val="continue"/>
            <w:tcBorders>
              <w:top w:val="single" w:sz="4" w:space="0" w:color="000000"/>
              <w:left w:val="single" w:sz="4" w:space="0" w:color="000000"/>
              <w:bottom w:val="single" w:sz="4" w:space="0" w:color="000000"/>
              <w:right w:val="single" w:sz="4" w:space="0" w:color="000000"/>
            </w:tcBorders>
            <w:vAlign w:val="center"/>
          </w:tcPr>
          <w:p>
            <w:pPr>
              <w:pStyle w:val="ListParagraph"/>
              <w:overflowPunct w:val="false"/>
              <w:snapToGrid w:val="false"/>
              <w:spacing w:lineRule="exact" w:line="400"/>
              <w:ind w:hanging="0"/>
              <w:jc w:val="center"/>
              <w:rPr>
                <w:rFonts w:ascii="仿宋;CESI仿宋-GB13000" w:hAnsi="仿宋;CESI仿宋-GB13000" w:eastAsia="仿宋;CESI仿宋-GB13000" w:cs="仿宋;CESI仿宋-GB13000"/>
                <w:sz w:val="28"/>
                <w:szCs w:val="28"/>
                <w:lang w:val="en-US" w:eastAsia="zh-CN"/>
              </w:rPr>
            </w:pPr>
            <w:r>
              <w:rPr>
                <w:rFonts w:eastAsia="仿宋;CESI仿宋-GB13000" w:cs="仿宋;CESI仿宋-GB13000" w:ascii="仿宋;CESI仿宋-GB13000" w:hAnsi="仿宋;CESI仿宋-GB13000"/>
                <w:sz w:val="28"/>
                <w:szCs w:val="28"/>
                <w:lang w:val="en-US" w:eastAsia="zh-CN"/>
              </w:rPr>
            </w:r>
          </w:p>
        </w:tc>
        <w:tc>
          <w:tcPr>
            <w:tcW w:w="15026"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400"/>
              <w:jc w:val="left"/>
              <w:rPr>
                <w:rFonts w:ascii="仿宋;CESI仿宋-GB13000" w:hAnsi="仿宋;CESI仿宋-GB13000" w:eastAsia="仿宋;CESI仿宋-GB13000" w:cs="仿宋;CESI仿宋-GB13000"/>
                <w:sz w:val="28"/>
                <w:szCs w:val="28"/>
                <w:lang w:val="en-US" w:eastAsia="zh-CN"/>
              </w:rPr>
            </w:pPr>
            <w:r>
              <w:rPr>
                <w:rFonts w:eastAsia="仿宋;CESI仿宋-GB13000" w:cs="仿宋;CESI仿宋-GB13000" w:ascii="仿宋;CESI仿宋-GB13000" w:hAnsi="仿宋;CESI仿宋-GB13000"/>
                <w:sz w:val="28"/>
                <w:szCs w:val="28"/>
              </w:rPr>
              <w:t>5.</w:t>
            </w:r>
            <w:r>
              <w:rPr>
                <w:rFonts w:ascii="仿宋;CESI仿宋-GB13000" w:hAnsi="仿宋;CESI仿宋-GB13000" w:cs="仿宋;CESI仿宋-GB13000" w:eastAsia="仿宋;CESI仿宋-GB13000"/>
                <w:sz w:val="28"/>
                <w:szCs w:val="28"/>
              </w:rPr>
              <w:t>安全评估报告中引用的规范、标准或权威机构数据，其使用的产品剂型、使用方法、使用部位等使用条件和使用范围应当与引用数据的条件相符，数据准确无误。证据类型的选择原则应当严格按照《化妆品安全评估技术导则（</w:t>
            </w:r>
            <w:r>
              <w:rPr>
                <w:rFonts w:eastAsia="仿宋;CESI仿宋-GB13000" w:cs="仿宋;CESI仿宋-GB13000" w:ascii="仿宋;CESI仿宋-GB13000" w:hAnsi="仿宋;CESI仿宋-GB13000"/>
                <w:sz w:val="28"/>
                <w:szCs w:val="28"/>
              </w:rPr>
              <w:t>2021</w:t>
            </w:r>
            <w:r>
              <w:rPr>
                <w:rFonts w:ascii="仿宋;CESI仿宋-GB13000" w:hAnsi="仿宋;CESI仿宋-GB13000" w:cs="仿宋;CESI仿宋-GB13000" w:eastAsia="仿宋;CESI仿宋-GB13000"/>
                <w:sz w:val="28"/>
                <w:szCs w:val="28"/>
              </w:rPr>
              <w:t>年版）》执行。</w:t>
            </w:r>
          </w:p>
        </w:tc>
        <w:tc>
          <w:tcPr>
            <w:tcW w:w="2378"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360"/>
              <w:jc w:val="center"/>
              <w:rPr>
                <w:rFonts w:ascii="仿宋;CESI仿宋-GB13000" w:hAnsi="仿宋;CESI仿宋-GB13000" w:eastAsia="仿宋;CESI仿宋-GB13000" w:cs="仿宋;CESI仿宋-GB13000"/>
                <w:sz w:val="28"/>
                <w:szCs w:val="28"/>
                <w:lang w:val="en-US" w:eastAsia="zh-CN"/>
              </w:rPr>
            </w:pPr>
            <w:r>
              <w:rPr>
                <w:rFonts w:eastAsia="仿宋_GB2312;方正仿宋_GBK" w:cs="仿宋_GB2312;方正仿宋_GBK" w:ascii="仿宋_GB2312;方正仿宋_GBK" w:hAnsi="仿宋_GB2312;方正仿宋_GBK"/>
                <w:sz w:val="28"/>
                <w:szCs w:val="28"/>
              </w:rPr>
              <w:t>□</w:t>
            </w:r>
            <w:r>
              <w:rPr>
                <w:rFonts w:ascii="仿宋_GB2312;方正仿宋_GBK" w:hAnsi="仿宋_GB2312;方正仿宋_GBK" w:cs="仿宋_GB2312;方正仿宋_GBK" w:eastAsia="仿宋_GB2312;方正仿宋_GBK"/>
                <w:sz w:val="28"/>
                <w:szCs w:val="28"/>
              </w:rPr>
              <w:t>符合 □不符合</w:t>
            </w:r>
          </w:p>
        </w:tc>
        <w:tc>
          <w:tcPr>
            <w:tcW w:w="850" w:type="dxa"/>
            <w:vMerge w:val="continue"/>
            <w:tcBorders>
              <w:top w:val="single" w:sz="4" w:space="0" w:color="000000"/>
              <w:left w:val="single" w:sz="4" w:space="0" w:color="000000"/>
              <w:bottom w:val="single" w:sz="4" w:space="0" w:color="000000"/>
              <w:right w:val="single" w:sz="4" w:space="0" w:color="000000"/>
            </w:tcBorders>
          </w:tcPr>
          <w:p>
            <w:pPr>
              <w:pStyle w:val="ListParagraph"/>
              <w:overflowPunct w:val="false"/>
              <w:snapToGrid w:val="false"/>
              <w:spacing w:lineRule="exact" w:line="400"/>
              <w:ind w:hanging="0"/>
              <w:jc w:val="left"/>
              <w:rPr>
                <w:rFonts w:ascii="仿宋;CESI仿宋-GB13000" w:hAnsi="仿宋;CESI仿宋-GB13000" w:eastAsia="仿宋;CESI仿宋-GB13000" w:cs="仿宋;CESI仿宋-GB13000"/>
                <w:sz w:val="28"/>
                <w:szCs w:val="28"/>
                <w:lang w:val="en-US" w:eastAsia="zh-CN"/>
              </w:rPr>
            </w:pPr>
            <w:r>
              <w:rPr>
                <w:rFonts w:eastAsia="仿宋;CESI仿宋-GB13000" w:cs="仿宋;CESI仿宋-GB13000" w:ascii="仿宋;CESI仿宋-GB13000" w:hAnsi="仿宋;CESI仿宋-GB13000"/>
                <w:sz w:val="28"/>
                <w:szCs w:val="28"/>
                <w:lang w:val="en-US" w:eastAsia="zh-CN"/>
              </w:rPr>
            </w:r>
          </w:p>
        </w:tc>
      </w:tr>
      <w:tr>
        <w:trPr>
          <w:trHeight w:val="101" w:hRule="atLeast"/>
        </w:trPr>
        <w:tc>
          <w:tcPr>
            <w:tcW w:w="790" w:type="dxa"/>
            <w:vMerge w:val="continue"/>
            <w:tcBorders>
              <w:top w:val="single" w:sz="4" w:space="0" w:color="000000"/>
              <w:left w:val="single" w:sz="4" w:space="0" w:color="000000"/>
              <w:bottom w:val="single" w:sz="4" w:space="0" w:color="000000"/>
              <w:right w:val="single" w:sz="4" w:space="0" w:color="000000"/>
            </w:tcBorders>
            <w:vAlign w:val="center"/>
          </w:tcPr>
          <w:p>
            <w:pPr>
              <w:pStyle w:val="ListParagraph"/>
              <w:overflowPunct w:val="false"/>
              <w:snapToGrid w:val="false"/>
              <w:spacing w:lineRule="exact" w:line="400"/>
              <w:ind w:hanging="0"/>
              <w:jc w:val="center"/>
              <w:rPr>
                <w:rFonts w:ascii="仿宋;CESI仿宋-GB13000" w:hAnsi="仿宋;CESI仿宋-GB13000" w:eastAsia="仿宋;CESI仿宋-GB13000" w:cs="仿宋;CESI仿宋-GB13000"/>
                <w:sz w:val="28"/>
                <w:szCs w:val="28"/>
                <w:lang w:val="en-US" w:eastAsia="zh-CN"/>
              </w:rPr>
            </w:pPr>
            <w:r>
              <w:rPr>
                <w:rFonts w:eastAsia="仿宋;CESI仿宋-GB13000" w:cs="仿宋;CESI仿宋-GB13000" w:ascii="仿宋;CESI仿宋-GB13000" w:hAnsi="仿宋;CESI仿宋-GB13000"/>
                <w:sz w:val="28"/>
                <w:szCs w:val="28"/>
                <w:lang w:val="en-US" w:eastAsia="zh-CN"/>
              </w:rPr>
            </w:r>
          </w:p>
        </w:tc>
        <w:tc>
          <w:tcPr>
            <w:tcW w:w="2239" w:type="dxa"/>
            <w:vMerge w:val="continue"/>
            <w:tcBorders>
              <w:top w:val="single" w:sz="4" w:space="0" w:color="000000"/>
              <w:left w:val="single" w:sz="4" w:space="0" w:color="000000"/>
              <w:bottom w:val="single" w:sz="4" w:space="0" w:color="000000"/>
              <w:right w:val="single" w:sz="4" w:space="0" w:color="000000"/>
            </w:tcBorders>
            <w:vAlign w:val="center"/>
          </w:tcPr>
          <w:p>
            <w:pPr>
              <w:pStyle w:val="ListParagraph"/>
              <w:overflowPunct w:val="false"/>
              <w:snapToGrid w:val="false"/>
              <w:spacing w:lineRule="exact" w:line="400"/>
              <w:ind w:hanging="0"/>
              <w:jc w:val="center"/>
              <w:rPr>
                <w:rFonts w:ascii="仿宋;CESI仿宋-GB13000" w:hAnsi="仿宋;CESI仿宋-GB13000" w:eastAsia="仿宋;CESI仿宋-GB13000" w:cs="仿宋;CESI仿宋-GB13000"/>
                <w:sz w:val="28"/>
                <w:szCs w:val="28"/>
                <w:lang w:val="en-US" w:eastAsia="zh-CN"/>
              </w:rPr>
            </w:pPr>
            <w:r>
              <w:rPr>
                <w:rFonts w:eastAsia="仿宋;CESI仿宋-GB13000" w:cs="仿宋;CESI仿宋-GB13000" w:ascii="仿宋;CESI仿宋-GB13000" w:hAnsi="仿宋;CESI仿宋-GB13000"/>
                <w:sz w:val="28"/>
                <w:szCs w:val="28"/>
                <w:lang w:val="en-US" w:eastAsia="zh-CN"/>
              </w:rPr>
            </w:r>
          </w:p>
        </w:tc>
        <w:tc>
          <w:tcPr>
            <w:tcW w:w="15026"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400"/>
              <w:jc w:val="left"/>
              <w:rPr>
                <w:rFonts w:ascii="仿宋;CESI仿宋-GB13000" w:hAnsi="仿宋;CESI仿宋-GB13000" w:eastAsia="仿宋;CESI仿宋-GB13000" w:cs="仿宋;CESI仿宋-GB13000"/>
                <w:sz w:val="28"/>
                <w:szCs w:val="28"/>
                <w:lang w:val="en-US" w:eastAsia="zh-CN"/>
              </w:rPr>
            </w:pPr>
            <w:r>
              <w:rPr>
                <w:rFonts w:eastAsia="仿宋;CESI仿宋-GB13000" w:cs="仿宋;CESI仿宋-GB13000" w:ascii="仿宋;CESI仿宋-GB13000" w:hAnsi="仿宋;CESI仿宋-GB13000"/>
                <w:sz w:val="28"/>
                <w:szCs w:val="28"/>
                <w:lang w:val="en-US" w:eastAsia="zh-CN"/>
              </w:rPr>
              <w:t>6</w:t>
            </w:r>
            <w:r>
              <w:rPr>
                <w:rFonts w:eastAsia="仿宋;CESI仿宋-GB13000" w:cs="仿宋;CESI仿宋-GB13000" w:ascii="仿宋;CESI仿宋-GB13000" w:hAnsi="仿宋;CESI仿宋-GB13000"/>
                <w:sz w:val="28"/>
                <w:szCs w:val="28"/>
              </w:rPr>
              <w:t>.</w:t>
            </w:r>
            <w:r>
              <w:rPr>
                <w:rFonts w:ascii="仿宋;CESI仿宋-GB13000" w:hAnsi="仿宋;CESI仿宋-GB13000" w:cs="仿宋;CESI仿宋-GB13000" w:eastAsia="仿宋;CESI仿宋-GB13000"/>
                <w:sz w:val="28"/>
                <w:szCs w:val="28"/>
              </w:rPr>
              <w:t>应以附录形式针对可能存在安全性风险的原料提供支持性证明文件，可以是有资质的检验机构出具的原料或成品的检验报告或原料生产商提供的质量规格证明文件或承诺书、检测报告等。</w:t>
            </w:r>
          </w:p>
        </w:tc>
        <w:tc>
          <w:tcPr>
            <w:tcW w:w="2378"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360"/>
              <w:jc w:val="center"/>
              <w:rPr>
                <w:rFonts w:ascii="仿宋;CESI仿宋-GB13000" w:hAnsi="仿宋;CESI仿宋-GB13000" w:eastAsia="仿宋;CESI仿宋-GB13000" w:cs="仿宋;CESI仿宋-GB13000"/>
                <w:sz w:val="28"/>
                <w:szCs w:val="28"/>
                <w:lang w:val="en-US" w:eastAsia="zh-CN"/>
              </w:rPr>
            </w:pPr>
            <w:r>
              <w:rPr>
                <w:rFonts w:eastAsia="仿宋_GB2312;方正仿宋_GBK" w:cs="仿宋_GB2312;方正仿宋_GBK" w:ascii="仿宋_GB2312;方正仿宋_GBK" w:hAnsi="仿宋_GB2312;方正仿宋_GBK"/>
                <w:sz w:val="28"/>
                <w:szCs w:val="28"/>
              </w:rPr>
              <w:t>□</w:t>
            </w:r>
            <w:r>
              <w:rPr>
                <w:rFonts w:ascii="仿宋_GB2312;方正仿宋_GBK" w:hAnsi="仿宋_GB2312;方正仿宋_GBK" w:cs="仿宋_GB2312;方正仿宋_GBK" w:eastAsia="仿宋_GB2312;方正仿宋_GBK"/>
                <w:sz w:val="28"/>
                <w:szCs w:val="28"/>
              </w:rPr>
              <w:t>符合 □不符合</w:t>
            </w:r>
          </w:p>
        </w:tc>
        <w:tc>
          <w:tcPr>
            <w:tcW w:w="850" w:type="dxa"/>
            <w:vMerge w:val="continue"/>
            <w:tcBorders>
              <w:top w:val="single" w:sz="4" w:space="0" w:color="000000"/>
              <w:left w:val="single" w:sz="4" w:space="0" w:color="000000"/>
              <w:bottom w:val="single" w:sz="4" w:space="0" w:color="000000"/>
              <w:right w:val="single" w:sz="4" w:space="0" w:color="000000"/>
            </w:tcBorders>
          </w:tcPr>
          <w:p>
            <w:pPr>
              <w:pStyle w:val="ListParagraph"/>
              <w:overflowPunct w:val="false"/>
              <w:snapToGrid w:val="false"/>
              <w:spacing w:lineRule="exact" w:line="400"/>
              <w:ind w:hanging="0"/>
              <w:jc w:val="left"/>
              <w:rPr>
                <w:rFonts w:ascii="仿宋;CESI仿宋-GB13000" w:hAnsi="仿宋;CESI仿宋-GB13000" w:eastAsia="仿宋;CESI仿宋-GB13000" w:cs="仿宋;CESI仿宋-GB13000"/>
                <w:sz w:val="28"/>
                <w:szCs w:val="28"/>
                <w:lang w:val="en-US" w:eastAsia="zh-CN"/>
              </w:rPr>
            </w:pPr>
            <w:r>
              <w:rPr>
                <w:rFonts w:eastAsia="仿宋;CESI仿宋-GB13000" w:cs="仿宋;CESI仿宋-GB13000" w:ascii="仿宋;CESI仿宋-GB13000" w:hAnsi="仿宋;CESI仿宋-GB13000"/>
                <w:sz w:val="28"/>
                <w:szCs w:val="28"/>
                <w:lang w:val="en-US" w:eastAsia="zh-CN"/>
              </w:rPr>
            </w:r>
          </w:p>
        </w:tc>
      </w:tr>
      <w:tr>
        <w:trPr>
          <w:trHeight w:val="557" w:hRule="atLeast"/>
        </w:trPr>
        <w:tc>
          <w:tcPr>
            <w:tcW w:w="790" w:type="dxa"/>
            <w:vMerge w:val="continue"/>
            <w:tcBorders>
              <w:top w:val="single" w:sz="4" w:space="0" w:color="000000"/>
              <w:left w:val="single" w:sz="4" w:space="0" w:color="000000"/>
              <w:bottom w:val="single" w:sz="4" w:space="0" w:color="000000"/>
              <w:right w:val="single" w:sz="4" w:space="0" w:color="000000"/>
            </w:tcBorders>
            <w:vAlign w:val="center"/>
          </w:tcPr>
          <w:p>
            <w:pPr>
              <w:pStyle w:val="ListParagraph"/>
              <w:overflowPunct w:val="false"/>
              <w:snapToGrid w:val="false"/>
              <w:spacing w:lineRule="exact" w:line="400"/>
              <w:ind w:hanging="0"/>
              <w:jc w:val="center"/>
              <w:rPr>
                <w:rFonts w:ascii="仿宋;CESI仿宋-GB13000" w:hAnsi="仿宋;CESI仿宋-GB13000" w:eastAsia="仿宋;CESI仿宋-GB13000" w:cs="仿宋;CESI仿宋-GB13000"/>
                <w:sz w:val="28"/>
                <w:szCs w:val="28"/>
                <w:lang w:val="en-US" w:eastAsia="zh-CN"/>
              </w:rPr>
            </w:pPr>
            <w:r>
              <w:rPr>
                <w:rFonts w:eastAsia="仿宋;CESI仿宋-GB13000" w:cs="仿宋;CESI仿宋-GB13000" w:ascii="仿宋;CESI仿宋-GB13000" w:hAnsi="仿宋;CESI仿宋-GB13000"/>
                <w:sz w:val="28"/>
                <w:szCs w:val="28"/>
                <w:lang w:val="en-US" w:eastAsia="zh-CN"/>
              </w:rPr>
            </w:r>
          </w:p>
        </w:tc>
        <w:tc>
          <w:tcPr>
            <w:tcW w:w="2239" w:type="dxa"/>
            <w:vMerge w:val="continue"/>
            <w:tcBorders>
              <w:top w:val="single" w:sz="4" w:space="0" w:color="000000"/>
              <w:left w:val="single" w:sz="4" w:space="0" w:color="000000"/>
              <w:bottom w:val="single" w:sz="4" w:space="0" w:color="000000"/>
              <w:right w:val="single" w:sz="4" w:space="0" w:color="000000"/>
            </w:tcBorders>
            <w:vAlign w:val="center"/>
          </w:tcPr>
          <w:p>
            <w:pPr>
              <w:pStyle w:val="ListParagraph"/>
              <w:overflowPunct w:val="false"/>
              <w:snapToGrid w:val="false"/>
              <w:spacing w:lineRule="exact" w:line="400"/>
              <w:ind w:hanging="0"/>
              <w:jc w:val="center"/>
              <w:rPr>
                <w:rFonts w:ascii="仿宋;CESI仿宋-GB13000" w:hAnsi="仿宋;CESI仿宋-GB13000" w:eastAsia="仿宋;CESI仿宋-GB13000" w:cs="仿宋;CESI仿宋-GB13000"/>
                <w:sz w:val="28"/>
                <w:szCs w:val="28"/>
                <w:lang w:val="en-US" w:eastAsia="zh-CN"/>
              </w:rPr>
            </w:pPr>
            <w:r>
              <w:rPr>
                <w:rFonts w:eastAsia="仿宋;CESI仿宋-GB13000" w:cs="仿宋;CESI仿宋-GB13000" w:ascii="仿宋;CESI仿宋-GB13000" w:hAnsi="仿宋;CESI仿宋-GB13000"/>
                <w:sz w:val="28"/>
                <w:szCs w:val="28"/>
                <w:lang w:val="en-US" w:eastAsia="zh-CN"/>
              </w:rPr>
            </w:r>
          </w:p>
        </w:tc>
        <w:tc>
          <w:tcPr>
            <w:tcW w:w="15026"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400"/>
              <w:jc w:val="left"/>
              <w:rPr>
                <w:rFonts w:ascii="仿宋;CESI仿宋-GB13000" w:hAnsi="仿宋;CESI仿宋-GB13000" w:eastAsia="仿宋;CESI仿宋-GB13000" w:cs="仿宋;CESI仿宋-GB13000"/>
                <w:sz w:val="28"/>
                <w:szCs w:val="28"/>
                <w:lang w:val="en-US" w:eastAsia="zh-CN"/>
              </w:rPr>
            </w:pPr>
            <w:r>
              <w:rPr>
                <w:rFonts w:eastAsia="仿宋_GB2312;方正仿宋_GBK" w:cs="仿宋_GB2312;方正仿宋_GBK" w:ascii="仿宋_GB2312;方正仿宋_GBK" w:hAnsi="仿宋_GB2312;方正仿宋_GBK"/>
                <w:sz w:val="28"/>
                <w:szCs w:val="28"/>
                <w:lang w:val="en-US" w:eastAsia="zh-CN"/>
              </w:rPr>
              <w:t>7.</w:t>
            </w:r>
            <w:r>
              <w:rPr>
                <w:rFonts w:ascii="仿宋;CESI仿宋-GB13000" w:hAnsi="仿宋;CESI仿宋-GB13000" w:cs="仿宋;CESI仿宋-GB13000" w:eastAsia="仿宋;CESI仿宋-GB13000"/>
                <w:sz w:val="28"/>
                <w:szCs w:val="28"/>
              </w:rPr>
              <w:t>仅提交安全评估基本结论的，安全评估报告须存档备查。</w:t>
            </w:r>
          </w:p>
        </w:tc>
        <w:tc>
          <w:tcPr>
            <w:tcW w:w="2378"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360"/>
              <w:jc w:val="center"/>
              <w:rPr>
                <w:rFonts w:ascii="仿宋;CESI仿宋-GB13000" w:hAnsi="仿宋;CESI仿宋-GB13000" w:eastAsia="仿宋;CESI仿宋-GB13000" w:cs="仿宋;CESI仿宋-GB13000"/>
                <w:sz w:val="28"/>
                <w:szCs w:val="28"/>
                <w:lang w:val="en-US" w:eastAsia="zh-CN"/>
              </w:rPr>
            </w:pPr>
            <w:r>
              <w:rPr>
                <w:rFonts w:eastAsia="仿宋_GB2312;方正仿宋_GBK" w:cs="仿宋_GB2312;方正仿宋_GBK" w:ascii="仿宋_GB2312;方正仿宋_GBK" w:hAnsi="仿宋_GB2312;方正仿宋_GBK"/>
                <w:sz w:val="28"/>
                <w:szCs w:val="28"/>
              </w:rPr>
              <w:t>□</w:t>
            </w:r>
            <w:r>
              <w:rPr>
                <w:rFonts w:ascii="仿宋_GB2312;方正仿宋_GBK" w:hAnsi="仿宋_GB2312;方正仿宋_GBK" w:cs="仿宋_GB2312;方正仿宋_GBK" w:eastAsia="仿宋_GB2312;方正仿宋_GBK"/>
                <w:sz w:val="28"/>
                <w:szCs w:val="28"/>
              </w:rPr>
              <w:t>符合 □不符合</w:t>
            </w:r>
          </w:p>
        </w:tc>
        <w:tc>
          <w:tcPr>
            <w:tcW w:w="850" w:type="dxa"/>
            <w:vMerge w:val="continue"/>
            <w:tcBorders>
              <w:top w:val="single" w:sz="4" w:space="0" w:color="000000"/>
              <w:left w:val="single" w:sz="4" w:space="0" w:color="000000"/>
              <w:bottom w:val="single" w:sz="4" w:space="0" w:color="000000"/>
              <w:right w:val="single" w:sz="4" w:space="0" w:color="000000"/>
            </w:tcBorders>
          </w:tcPr>
          <w:p>
            <w:pPr>
              <w:pStyle w:val="ListParagraph"/>
              <w:overflowPunct w:val="false"/>
              <w:snapToGrid w:val="false"/>
              <w:spacing w:lineRule="exact" w:line="400"/>
              <w:ind w:hanging="0"/>
              <w:jc w:val="left"/>
              <w:rPr>
                <w:rFonts w:ascii="仿宋;CESI仿宋-GB13000" w:hAnsi="仿宋;CESI仿宋-GB13000" w:eastAsia="仿宋;CESI仿宋-GB13000" w:cs="仿宋;CESI仿宋-GB13000"/>
                <w:sz w:val="28"/>
                <w:szCs w:val="28"/>
                <w:lang w:val="en-US" w:eastAsia="zh-CN"/>
              </w:rPr>
            </w:pPr>
            <w:r>
              <w:rPr>
                <w:rFonts w:eastAsia="仿宋;CESI仿宋-GB13000" w:cs="仿宋;CESI仿宋-GB13000" w:ascii="仿宋;CESI仿宋-GB13000" w:hAnsi="仿宋;CESI仿宋-GB13000"/>
                <w:sz w:val="28"/>
                <w:szCs w:val="28"/>
                <w:lang w:val="en-US" w:eastAsia="zh-CN"/>
              </w:rPr>
            </w:r>
          </w:p>
        </w:tc>
      </w:tr>
      <w:tr>
        <w:trPr>
          <w:trHeight w:val="607" w:hRule="atLeast"/>
        </w:trPr>
        <w:tc>
          <w:tcPr>
            <w:tcW w:w="79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exact" w:line="360"/>
              <w:jc w:val="center"/>
              <w:rPr>
                <w:rFonts w:ascii="Arial;DejaVu Sans" w:hAnsi="Arial;DejaVu Sans" w:eastAsia="方正仿宋_GB2312;方正仿宋_GBK" w:cs="仿宋_GB2312;方正仿宋_GBK"/>
                <w:b w:val="false"/>
                <w:b w:val="false"/>
                <w:bCs w:val="false"/>
                <w:sz w:val="28"/>
                <w:szCs w:val="28"/>
                <w:lang w:val="en-US" w:eastAsia="zh-CN"/>
              </w:rPr>
            </w:pPr>
            <w:r>
              <w:rPr>
                <w:rFonts w:eastAsia="方正仿宋_GB2312;方正仿宋_GBK" w:cs="仿宋_GB2312;方正仿宋_GBK" w:ascii="Arial;DejaVu Sans" w:hAnsi="Arial;DejaVu Sans"/>
                <w:sz w:val="28"/>
                <w:szCs w:val="28"/>
                <w:lang w:val="en-US" w:eastAsia="zh-CN"/>
              </w:rPr>
              <w:t>8</w:t>
            </w:r>
          </w:p>
        </w:tc>
        <w:tc>
          <w:tcPr>
            <w:tcW w:w="2239" w:type="dxa"/>
            <w:vMerge w:val="restart"/>
            <w:tcBorders>
              <w:top w:val="single" w:sz="4" w:space="0" w:color="000000"/>
              <w:left w:val="single" w:sz="4" w:space="0" w:color="000000"/>
              <w:bottom w:val="single" w:sz="4" w:space="0" w:color="000000"/>
              <w:right w:val="single" w:sz="4" w:space="0" w:color="000000"/>
            </w:tcBorders>
            <w:vAlign w:val="center"/>
          </w:tcPr>
          <w:p>
            <w:pPr>
              <w:pStyle w:val="ListParagraph"/>
              <w:spacing w:lineRule="exact" w:line="360" w:before="0" w:after="0"/>
              <w:ind w:hanging="0"/>
              <w:contextualSpacing/>
              <w:jc w:val="center"/>
              <w:rPr>
                <w:rFonts w:ascii="Arial;DejaVu Sans" w:hAnsi="Arial;DejaVu Sans" w:eastAsia="方正仿宋_GB2312;方正仿宋_GBK" w:cs="仿宋_GB2312;方正仿宋_GBK"/>
                <w:sz w:val="28"/>
                <w:szCs w:val="28"/>
                <w:lang w:eastAsia="zh-CN"/>
              </w:rPr>
            </w:pPr>
            <w:r>
              <w:rPr>
                <w:rFonts w:ascii="Arial;DejaVu Sans" w:hAnsi="Arial;DejaVu Sans" w:cs="仿宋_GB2312;方正仿宋_GBK" w:eastAsia="方正仿宋_GB2312;方正仿宋_GBK"/>
                <w:sz w:val="28"/>
                <w:szCs w:val="28"/>
                <w:lang w:eastAsia="zh-CN"/>
              </w:rPr>
              <w:t>【其他注意事项】</w:t>
            </w:r>
          </w:p>
          <w:p>
            <w:pPr>
              <w:pStyle w:val="Normal"/>
              <w:jc w:val="center"/>
              <w:rPr>
                <w:rFonts w:ascii="Arial;DejaVu Sans" w:hAnsi="Arial;DejaVu Sans" w:eastAsia="方正仿宋_GB2312;方正仿宋_GBK" w:cs="仿宋_GB2312;方正仿宋_GBK"/>
                <w:sz w:val="28"/>
                <w:szCs w:val="28"/>
                <w:lang w:eastAsia="zh-CN"/>
              </w:rPr>
            </w:pPr>
            <w:r>
              <w:rPr>
                <w:rFonts w:eastAsia="方正仿宋_GB2312;方正仿宋_GBK" w:cs="仿宋_GB2312;方正仿宋_GBK" w:ascii="Arial;DejaVu Sans" w:hAnsi="Arial;DejaVu Sans"/>
                <w:sz w:val="28"/>
                <w:szCs w:val="28"/>
                <w:lang w:eastAsia="zh-CN"/>
              </w:rPr>
            </w:r>
          </w:p>
        </w:tc>
        <w:tc>
          <w:tcPr>
            <w:tcW w:w="15026" w:type="dxa"/>
            <w:tcBorders>
              <w:top w:val="single" w:sz="4" w:space="0" w:color="000000"/>
              <w:left w:val="single" w:sz="4" w:space="0" w:color="000000"/>
              <w:bottom w:val="single" w:sz="4" w:space="0" w:color="000000"/>
              <w:right w:val="single" w:sz="4" w:space="0" w:color="000000"/>
            </w:tcBorders>
            <w:vAlign w:val="center"/>
          </w:tcPr>
          <w:p>
            <w:pPr>
              <w:pStyle w:val="ListParagraph"/>
              <w:overflowPunct w:val="false"/>
              <w:snapToGrid w:val="false"/>
              <w:spacing w:lineRule="exact" w:line="400"/>
              <w:ind w:hanging="0"/>
              <w:jc w:val="left"/>
              <w:rPr>
                <w:rFonts w:ascii="仿宋;CESI仿宋-GB13000" w:hAnsi="仿宋;CESI仿宋-GB13000" w:eastAsia="仿宋;CESI仿宋-GB13000" w:cs="仿宋;CESI仿宋-GB13000"/>
                <w:sz w:val="28"/>
                <w:szCs w:val="28"/>
                <w:lang w:val="en-US" w:eastAsia="zh-CN"/>
              </w:rPr>
            </w:pPr>
            <w:r>
              <w:rPr>
                <w:rFonts w:eastAsia="仿宋;CESI仿宋-GB13000" w:cs="仿宋;CESI仿宋-GB13000" w:ascii="仿宋;CESI仿宋-GB13000" w:hAnsi="仿宋;CESI仿宋-GB13000"/>
                <w:sz w:val="28"/>
                <w:szCs w:val="28"/>
                <w:lang w:val="en-US" w:eastAsia="zh-CN"/>
              </w:rPr>
              <w:t>1.</w:t>
            </w:r>
            <w:r>
              <w:rPr>
                <w:rFonts w:ascii="仿宋;CESI仿宋-GB13000" w:hAnsi="仿宋;CESI仿宋-GB13000" w:cs="仿宋;CESI仿宋-GB13000" w:eastAsia="仿宋;CESI仿宋-GB13000"/>
                <w:sz w:val="28"/>
                <w:szCs w:val="28"/>
                <w:lang w:val="en-US" w:eastAsia="zh-CN"/>
              </w:rPr>
              <w:t>备案号：备案人原则上应于每年</w:t>
            </w:r>
            <w:r>
              <w:rPr>
                <w:rFonts w:eastAsia="仿宋;CESI仿宋-GB13000" w:cs="仿宋;CESI仿宋-GB13000" w:ascii="仿宋;CESI仿宋-GB13000" w:hAnsi="仿宋;CESI仿宋-GB13000"/>
                <w:sz w:val="28"/>
                <w:szCs w:val="28"/>
                <w:lang w:val="en-US" w:eastAsia="zh-CN"/>
              </w:rPr>
              <w:t>1</w:t>
            </w:r>
            <w:r>
              <w:rPr>
                <w:rFonts w:ascii="仿宋;CESI仿宋-GB13000" w:hAnsi="仿宋;CESI仿宋-GB13000" w:cs="仿宋;CESI仿宋-GB13000" w:eastAsia="仿宋;CESI仿宋-GB13000"/>
                <w:sz w:val="28"/>
                <w:szCs w:val="28"/>
                <w:lang w:val="en-US" w:eastAsia="zh-CN"/>
              </w:rPr>
              <w:t>月</w:t>
            </w:r>
            <w:r>
              <w:rPr>
                <w:rFonts w:eastAsia="仿宋;CESI仿宋-GB13000" w:cs="仿宋;CESI仿宋-GB13000" w:ascii="仿宋;CESI仿宋-GB13000" w:hAnsi="仿宋;CESI仿宋-GB13000"/>
                <w:sz w:val="28"/>
                <w:szCs w:val="28"/>
                <w:lang w:val="en-US" w:eastAsia="zh-CN"/>
              </w:rPr>
              <w:t>1</w:t>
            </w:r>
            <w:r>
              <w:rPr>
                <w:rFonts w:ascii="仿宋;CESI仿宋-GB13000" w:hAnsi="仿宋;CESI仿宋-GB13000" w:cs="仿宋;CESI仿宋-GB13000" w:eastAsia="仿宋;CESI仿宋-GB13000"/>
                <w:sz w:val="28"/>
                <w:szCs w:val="28"/>
                <w:lang w:val="en-US" w:eastAsia="zh-CN"/>
              </w:rPr>
              <w:t>日至</w:t>
            </w:r>
            <w:r>
              <w:rPr>
                <w:rFonts w:eastAsia="仿宋;CESI仿宋-GB13000" w:cs="仿宋;CESI仿宋-GB13000" w:ascii="仿宋;CESI仿宋-GB13000" w:hAnsi="仿宋;CESI仿宋-GB13000"/>
                <w:sz w:val="28"/>
                <w:szCs w:val="28"/>
                <w:lang w:val="en-US" w:eastAsia="zh-CN"/>
              </w:rPr>
              <w:t>12</w:t>
            </w:r>
            <w:r>
              <w:rPr>
                <w:rFonts w:ascii="仿宋;CESI仿宋-GB13000" w:hAnsi="仿宋;CESI仿宋-GB13000" w:cs="仿宋;CESI仿宋-GB13000" w:eastAsia="仿宋;CESI仿宋-GB13000"/>
                <w:sz w:val="28"/>
                <w:szCs w:val="28"/>
                <w:lang w:val="en-US" w:eastAsia="zh-CN"/>
              </w:rPr>
              <w:t>月</w:t>
            </w:r>
            <w:r>
              <w:rPr>
                <w:rFonts w:eastAsia="仿宋;CESI仿宋-GB13000" w:cs="仿宋;CESI仿宋-GB13000" w:ascii="仿宋;CESI仿宋-GB13000" w:hAnsi="仿宋;CESI仿宋-GB13000"/>
                <w:sz w:val="28"/>
                <w:szCs w:val="28"/>
                <w:lang w:val="en-US" w:eastAsia="zh-CN"/>
              </w:rPr>
              <w:t>31</w:t>
            </w:r>
            <w:r>
              <w:rPr>
                <w:rFonts w:ascii="仿宋;CESI仿宋-GB13000" w:hAnsi="仿宋;CESI仿宋-GB13000" w:cs="仿宋;CESI仿宋-GB13000" w:eastAsia="仿宋;CESI仿宋-GB13000"/>
                <w:sz w:val="28"/>
                <w:szCs w:val="28"/>
                <w:lang w:val="en-US" w:eastAsia="zh-CN"/>
              </w:rPr>
              <w:t>日期间使用当年领取的备案号完成对应产品的备案。</w:t>
            </w:r>
          </w:p>
        </w:tc>
        <w:tc>
          <w:tcPr>
            <w:tcW w:w="2378"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360"/>
              <w:jc w:val="center"/>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t>□</w:t>
            </w:r>
            <w:r>
              <w:rPr>
                <w:rFonts w:ascii="仿宋_GB2312;方正仿宋_GBK" w:hAnsi="仿宋_GB2312;方正仿宋_GBK" w:cs="仿宋_GB2312;方正仿宋_GBK" w:eastAsia="仿宋_GB2312;方正仿宋_GBK"/>
                <w:sz w:val="28"/>
                <w:szCs w:val="28"/>
              </w:rPr>
              <w:t>符合 □不符合</w:t>
            </w:r>
          </w:p>
        </w:tc>
        <w:tc>
          <w:tcPr>
            <w:tcW w:w="85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360"/>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r>
          </w:p>
        </w:tc>
      </w:tr>
      <w:tr>
        <w:trPr/>
        <w:tc>
          <w:tcPr>
            <w:tcW w:w="79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仿宋_GB2312;方正仿宋_GBK" w:hAnsi="仿宋_GB2312;方正仿宋_GBK" w:eastAsia="仿宋_GB2312;方正仿宋_GBK" w:cs="仿宋_GB2312;方正仿宋_GBK"/>
                <w:b/>
                <w:b/>
                <w:bCs/>
                <w:sz w:val="28"/>
                <w:szCs w:val="28"/>
              </w:rPr>
            </w:pPr>
            <w:r>
              <w:rPr>
                <w:rFonts w:eastAsia="仿宋_GB2312;方正仿宋_GBK" w:cs="仿宋_GB2312;方正仿宋_GBK" w:ascii="仿宋_GB2312;方正仿宋_GBK" w:hAnsi="仿宋_GB2312;方正仿宋_GBK"/>
                <w:b/>
                <w:bCs/>
                <w:sz w:val="28"/>
                <w:szCs w:val="28"/>
              </w:rPr>
            </w:r>
          </w:p>
        </w:tc>
        <w:tc>
          <w:tcPr>
            <w:tcW w:w="2239" w:type="dxa"/>
            <w:vMerge w:val="continue"/>
            <w:tcBorders>
              <w:top w:val="single" w:sz="4" w:space="0" w:color="000000"/>
              <w:left w:val="single" w:sz="4" w:space="0" w:color="000000"/>
              <w:bottom w:val="single" w:sz="4" w:space="0" w:color="000000"/>
              <w:right w:val="single" w:sz="4" w:space="0" w:color="000000"/>
            </w:tcBorders>
            <w:vAlign w:val="center"/>
          </w:tcPr>
          <w:p>
            <w:pPr>
              <w:pStyle w:val="ListParagraph"/>
              <w:snapToGrid w:val="false"/>
              <w:spacing w:lineRule="exact" w:line="360" w:before="0" w:after="0"/>
              <w:ind w:hanging="0"/>
              <w:contextualSpacing/>
              <w:jc w:val="center"/>
              <w:rPr>
                <w:rFonts w:ascii="Arial;DejaVu Sans" w:hAnsi="Arial;DejaVu Sans" w:eastAsia="方正仿宋_GB2312;方正仿宋_GBK" w:cs="仿宋_GB2312;方正仿宋_GBK"/>
                <w:b/>
                <w:b/>
                <w:bCs/>
                <w:sz w:val="28"/>
                <w:szCs w:val="28"/>
              </w:rPr>
            </w:pPr>
            <w:r>
              <w:rPr>
                <w:rFonts w:eastAsia="方正仿宋_GB2312;方正仿宋_GBK" w:cs="仿宋_GB2312;方正仿宋_GBK" w:ascii="Arial;DejaVu Sans" w:hAnsi="Arial;DejaVu Sans"/>
                <w:b/>
                <w:bCs/>
                <w:sz w:val="28"/>
                <w:szCs w:val="28"/>
              </w:rPr>
            </w:r>
          </w:p>
        </w:tc>
        <w:tc>
          <w:tcPr>
            <w:tcW w:w="15026" w:type="dxa"/>
            <w:tcBorders>
              <w:top w:val="single" w:sz="4" w:space="0" w:color="000000"/>
              <w:left w:val="single" w:sz="4" w:space="0" w:color="000000"/>
              <w:bottom w:val="single" w:sz="4" w:space="0" w:color="000000"/>
              <w:right w:val="single" w:sz="4" w:space="0" w:color="000000"/>
            </w:tcBorders>
            <w:vAlign w:val="center"/>
          </w:tcPr>
          <w:p>
            <w:pPr>
              <w:pStyle w:val="ListParagraph"/>
              <w:overflowPunct w:val="false"/>
              <w:snapToGrid w:val="false"/>
              <w:spacing w:lineRule="exact" w:line="400"/>
              <w:ind w:hanging="0"/>
              <w:jc w:val="left"/>
              <w:rPr>
                <w:rFonts w:ascii="仿宋;CESI仿宋-GB13000" w:hAnsi="仿宋;CESI仿宋-GB13000" w:eastAsia="仿宋;CESI仿宋-GB13000" w:cs="仿宋;CESI仿宋-GB13000"/>
                <w:sz w:val="28"/>
                <w:szCs w:val="28"/>
                <w:lang w:val="en-US" w:eastAsia="zh-CN"/>
              </w:rPr>
            </w:pPr>
            <w:r>
              <w:rPr>
                <w:rFonts w:eastAsia="仿宋;CESI仿宋-GB13000" w:cs="仿宋;CESI仿宋-GB13000" w:ascii="仿宋;CESI仿宋-GB13000" w:hAnsi="仿宋;CESI仿宋-GB13000"/>
                <w:sz w:val="28"/>
                <w:szCs w:val="28"/>
              </w:rPr>
              <w:t>2.</w:t>
            </w:r>
            <w:r>
              <w:rPr>
                <w:rFonts w:ascii="仿宋;CESI仿宋-GB13000" w:hAnsi="仿宋;CESI仿宋-GB13000" w:cs="仿宋;CESI仿宋-GB13000" w:eastAsia="仿宋;CESI仿宋-GB13000"/>
                <w:sz w:val="28"/>
                <w:szCs w:val="28"/>
              </w:rPr>
              <w:t>儿童化妆品的备案资料：还应符合《儿童化妆品监督管理规定》《儿童化妆品技术指导原则》和《国家药监局关于发布儿童化妆品标志的公告》规定。</w:t>
            </w:r>
          </w:p>
        </w:tc>
        <w:tc>
          <w:tcPr>
            <w:tcW w:w="2378"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360"/>
              <w:jc w:val="center"/>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t>□</w:t>
            </w:r>
            <w:r>
              <w:rPr>
                <w:rFonts w:ascii="仿宋_GB2312;方正仿宋_GBK" w:hAnsi="仿宋_GB2312;方正仿宋_GBK" w:cs="仿宋_GB2312;方正仿宋_GBK" w:eastAsia="仿宋_GB2312;方正仿宋_GBK"/>
                <w:sz w:val="28"/>
                <w:szCs w:val="28"/>
              </w:rPr>
              <w:t>符合 □不符合</w:t>
            </w:r>
          </w:p>
        </w:tc>
        <w:tc>
          <w:tcPr>
            <w:tcW w:w="85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360"/>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r>
          </w:p>
        </w:tc>
      </w:tr>
      <w:tr>
        <w:trPr>
          <w:trHeight w:val="507" w:hRule="atLeast"/>
        </w:trPr>
        <w:tc>
          <w:tcPr>
            <w:tcW w:w="79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仿宋_GB2312;方正仿宋_GBK" w:hAnsi="仿宋_GB2312;方正仿宋_GBK" w:eastAsia="仿宋_GB2312;方正仿宋_GBK" w:cs="仿宋_GB2312;方正仿宋_GBK"/>
                <w:b/>
                <w:b/>
                <w:bCs/>
                <w:sz w:val="28"/>
                <w:szCs w:val="28"/>
                <w:lang w:val="en-US" w:eastAsia="zh-CN"/>
              </w:rPr>
            </w:pPr>
            <w:r>
              <w:rPr>
                <w:rFonts w:eastAsia="仿宋_GB2312;方正仿宋_GBK" w:cs="仿宋_GB2312;方正仿宋_GBK" w:ascii="仿宋_GB2312;方正仿宋_GBK" w:hAnsi="仿宋_GB2312;方正仿宋_GBK"/>
                <w:b/>
                <w:bCs/>
                <w:sz w:val="28"/>
                <w:szCs w:val="28"/>
                <w:lang w:val="en-US" w:eastAsia="zh-CN"/>
              </w:rPr>
            </w:r>
          </w:p>
        </w:tc>
        <w:tc>
          <w:tcPr>
            <w:tcW w:w="2239" w:type="dxa"/>
            <w:vMerge w:val="continue"/>
            <w:tcBorders>
              <w:top w:val="single" w:sz="4" w:space="0" w:color="000000"/>
              <w:left w:val="single" w:sz="4" w:space="0" w:color="000000"/>
              <w:bottom w:val="single" w:sz="4" w:space="0" w:color="000000"/>
              <w:right w:val="single" w:sz="4" w:space="0" w:color="000000"/>
            </w:tcBorders>
            <w:vAlign w:val="center"/>
          </w:tcPr>
          <w:p>
            <w:pPr>
              <w:pStyle w:val="ListParagraph"/>
              <w:snapToGrid w:val="false"/>
              <w:spacing w:lineRule="exact" w:line="360" w:before="0" w:after="0"/>
              <w:ind w:hanging="0"/>
              <w:contextualSpacing/>
              <w:jc w:val="center"/>
              <w:rPr>
                <w:rFonts w:ascii="Arial;DejaVu Sans" w:hAnsi="Arial;DejaVu Sans" w:eastAsia="方正仿宋_GB2312;方正仿宋_GBK" w:cs="仿宋_GB2312;方正仿宋_GBK"/>
                <w:b/>
                <w:b/>
                <w:bCs/>
                <w:sz w:val="28"/>
                <w:szCs w:val="28"/>
                <w:lang w:val="en-US" w:eastAsia="zh-CN"/>
              </w:rPr>
            </w:pPr>
            <w:r>
              <w:rPr>
                <w:rFonts w:eastAsia="方正仿宋_GB2312;方正仿宋_GBK" w:cs="仿宋_GB2312;方正仿宋_GBK" w:ascii="Arial;DejaVu Sans" w:hAnsi="Arial;DejaVu Sans"/>
                <w:b/>
                <w:bCs/>
                <w:sz w:val="28"/>
                <w:szCs w:val="28"/>
                <w:lang w:val="en-US" w:eastAsia="zh-CN"/>
              </w:rPr>
            </w:r>
          </w:p>
        </w:tc>
        <w:tc>
          <w:tcPr>
            <w:tcW w:w="15026" w:type="dxa"/>
            <w:tcBorders>
              <w:top w:val="single" w:sz="4" w:space="0" w:color="000000"/>
              <w:left w:val="single" w:sz="4" w:space="0" w:color="000000"/>
              <w:bottom w:val="single" w:sz="4" w:space="0" w:color="000000"/>
              <w:right w:val="single" w:sz="4" w:space="0" w:color="000000"/>
            </w:tcBorders>
            <w:vAlign w:val="center"/>
          </w:tcPr>
          <w:p>
            <w:pPr>
              <w:pStyle w:val="ListParagraph"/>
              <w:overflowPunct w:val="false"/>
              <w:snapToGrid w:val="false"/>
              <w:spacing w:lineRule="exact" w:line="400"/>
              <w:ind w:hanging="0"/>
              <w:jc w:val="left"/>
              <w:rPr>
                <w:rFonts w:ascii="仿宋;CESI仿宋-GB13000" w:hAnsi="仿宋;CESI仿宋-GB13000" w:eastAsia="仿宋;CESI仿宋-GB13000" w:cs="仿宋;CESI仿宋-GB13000"/>
                <w:sz w:val="28"/>
                <w:szCs w:val="28"/>
                <w:lang w:val="en-US" w:eastAsia="zh-CN"/>
              </w:rPr>
            </w:pPr>
            <w:r>
              <w:rPr>
                <w:rFonts w:eastAsia="仿宋;CESI仿宋-GB13000" w:cs="仿宋;CESI仿宋-GB13000" w:ascii="仿宋;CESI仿宋-GB13000" w:hAnsi="仿宋;CESI仿宋-GB13000"/>
                <w:sz w:val="28"/>
                <w:szCs w:val="28"/>
              </w:rPr>
              <w:t>3.</w:t>
            </w:r>
            <w:r>
              <w:rPr>
                <w:rFonts w:ascii="仿宋;CESI仿宋-GB13000" w:hAnsi="仿宋;CESI仿宋-GB13000" w:cs="仿宋;CESI仿宋-GB13000" w:eastAsia="仿宋;CESI仿宋-GB13000"/>
                <w:sz w:val="28"/>
                <w:szCs w:val="28"/>
              </w:rPr>
              <w:t>重新备案：产品注销后重新备案产品，应当提交注销后重新备案的原因等相关说明，充分说明产品的安全性。</w:t>
            </w:r>
          </w:p>
        </w:tc>
        <w:tc>
          <w:tcPr>
            <w:tcW w:w="2378"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360"/>
              <w:jc w:val="center"/>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t>□</w:t>
            </w:r>
            <w:r>
              <w:rPr>
                <w:rFonts w:ascii="仿宋_GB2312;方正仿宋_GBK" w:hAnsi="仿宋_GB2312;方正仿宋_GBK" w:cs="仿宋_GB2312;方正仿宋_GBK" w:eastAsia="仿宋_GB2312;方正仿宋_GBK"/>
                <w:sz w:val="28"/>
                <w:szCs w:val="28"/>
              </w:rPr>
              <w:t>符合 □不符合</w:t>
            </w:r>
          </w:p>
        </w:tc>
        <w:tc>
          <w:tcPr>
            <w:tcW w:w="85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360"/>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r>
          </w:p>
        </w:tc>
      </w:tr>
      <w:tr>
        <w:trPr>
          <w:trHeight w:val="490" w:hRule="atLeast"/>
        </w:trPr>
        <w:tc>
          <w:tcPr>
            <w:tcW w:w="79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仿宋_GB2312;方正仿宋_GBK" w:hAnsi="仿宋_GB2312;方正仿宋_GBK" w:eastAsia="仿宋_GB2312;方正仿宋_GBK" w:cs="仿宋_GB2312;方正仿宋_GBK"/>
                <w:b/>
                <w:b/>
                <w:bCs/>
                <w:sz w:val="28"/>
                <w:szCs w:val="28"/>
              </w:rPr>
            </w:pPr>
            <w:r>
              <w:rPr>
                <w:rFonts w:eastAsia="仿宋_GB2312;方正仿宋_GBK" w:cs="仿宋_GB2312;方正仿宋_GBK" w:ascii="仿宋_GB2312;方正仿宋_GBK" w:hAnsi="仿宋_GB2312;方正仿宋_GBK"/>
                <w:b/>
                <w:bCs/>
                <w:sz w:val="28"/>
                <w:szCs w:val="28"/>
              </w:rPr>
            </w:r>
          </w:p>
        </w:tc>
        <w:tc>
          <w:tcPr>
            <w:tcW w:w="2239" w:type="dxa"/>
            <w:vMerge w:val="continue"/>
            <w:tcBorders>
              <w:top w:val="single" w:sz="4" w:space="0" w:color="000000"/>
              <w:left w:val="single" w:sz="4" w:space="0" w:color="000000"/>
              <w:bottom w:val="single" w:sz="4" w:space="0" w:color="000000"/>
              <w:right w:val="single" w:sz="4" w:space="0" w:color="000000"/>
            </w:tcBorders>
            <w:vAlign w:val="center"/>
          </w:tcPr>
          <w:p>
            <w:pPr>
              <w:pStyle w:val="ListParagraph"/>
              <w:snapToGrid w:val="false"/>
              <w:spacing w:lineRule="exact" w:line="360" w:before="0" w:after="0"/>
              <w:ind w:hanging="0"/>
              <w:contextualSpacing/>
              <w:jc w:val="center"/>
              <w:rPr>
                <w:rFonts w:ascii="Arial;DejaVu Sans" w:hAnsi="Arial;DejaVu Sans" w:eastAsia="方正仿宋_GB2312;方正仿宋_GBK" w:cs="仿宋_GB2312;方正仿宋_GBK"/>
                <w:b/>
                <w:b/>
                <w:bCs/>
                <w:sz w:val="28"/>
                <w:szCs w:val="28"/>
              </w:rPr>
            </w:pPr>
            <w:r>
              <w:rPr>
                <w:rFonts w:eastAsia="方正仿宋_GB2312;方正仿宋_GBK" w:cs="仿宋_GB2312;方正仿宋_GBK" w:ascii="Arial;DejaVu Sans" w:hAnsi="Arial;DejaVu Sans"/>
                <w:b/>
                <w:bCs/>
                <w:sz w:val="28"/>
                <w:szCs w:val="28"/>
              </w:rPr>
            </w:r>
          </w:p>
        </w:tc>
        <w:tc>
          <w:tcPr>
            <w:tcW w:w="15026" w:type="dxa"/>
            <w:tcBorders>
              <w:top w:val="single" w:sz="4" w:space="0" w:color="000000"/>
              <w:left w:val="single" w:sz="4" w:space="0" w:color="000000"/>
              <w:bottom w:val="single" w:sz="4" w:space="0" w:color="000000"/>
              <w:right w:val="single" w:sz="4" w:space="0" w:color="000000"/>
            </w:tcBorders>
            <w:vAlign w:val="center"/>
          </w:tcPr>
          <w:p>
            <w:pPr>
              <w:pStyle w:val="ListParagraph"/>
              <w:overflowPunct w:val="false"/>
              <w:snapToGrid w:val="false"/>
              <w:spacing w:lineRule="exact" w:line="400"/>
              <w:ind w:hanging="0"/>
              <w:jc w:val="left"/>
              <w:rPr>
                <w:rFonts w:ascii="仿宋;CESI仿宋-GB13000" w:hAnsi="仿宋;CESI仿宋-GB13000" w:eastAsia="仿宋;CESI仿宋-GB13000" w:cs="仿宋;CESI仿宋-GB13000"/>
                <w:sz w:val="28"/>
                <w:szCs w:val="28"/>
                <w:lang w:val="en-US" w:eastAsia="zh-CN"/>
              </w:rPr>
            </w:pPr>
            <w:r>
              <w:rPr>
                <w:rFonts w:eastAsia="仿宋;CESI仿宋-GB13000" w:cs="仿宋;CESI仿宋-GB13000" w:ascii="仿宋;CESI仿宋-GB13000" w:hAnsi="仿宋;CESI仿宋-GB13000"/>
                <w:sz w:val="28"/>
                <w:szCs w:val="28"/>
              </w:rPr>
              <w:t>4.</w:t>
            </w:r>
            <w:r>
              <w:rPr>
                <w:rFonts w:ascii="仿宋;CESI仿宋-GB13000" w:hAnsi="仿宋;CESI仿宋-GB13000" w:cs="仿宋;CESI仿宋-GB13000" w:eastAsia="仿宋;CESI仿宋-GB13000"/>
                <w:sz w:val="28"/>
                <w:szCs w:val="28"/>
              </w:rPr>
              <w:t>已备案的产品不再上市销售的，应适时办理备案注销。</w:t>
            </w:r>
          </w:p>
        </w:tc>
        <w:tc>
          <w:tcPr>
            <w:tcW w:w="2378"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360"/>
              <w:jc w:val="center"/>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t>□</w:t>
            </w:r>
            <w:r>
              <w:rPr>
                <w:rFonts w:ascii="仿宋_GB2312;方正仿宋_GBK" w:hAnsi="仿宋_GB2312;方正仿宋_GBK" w:cs="仿宋_GB2312;方正仿宋_GBK" w:eastAsia="仿宋_GB2312;方正仿宋_GBK"/>
                <w:sz w:val="28"/>
                <w:szCs w:val="28"/>
              </w:rPr>
              <w:t>符合 □不符合</w:t>
            </w:r>
          </w:p>
        </w:tc>
        <w:tc>
          <w:tcPr>
            <w:tcW w:w="85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360"/>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r>
          </w:p>
        </w:tc>
      </w:tr>
      <w:tr>
        <w:trPr>
          <w:trHeight w:val="523" w:hRule="atLeast"/>
        </w:trPr>
        <w:tc>
          <w:tcPr>
            <w:tcW w:w="79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仿宋_GB2312;方正仿宋_GBK" w:hAnsi="仿宋_GB2312;方正仿宋_GBK" w:eastAsia="仿宋_GB2312;方正仿宋_GBK" w:cs="仿宋_GB2312;方正仿宋_GBK"/>
                <w:b/>
                <w:b/>
                <w:bCs/>
                <w:sz w:val="28"/>
                <w:szCs w:val="28"/>
              </w:rPr>
            </w:pPr>
            <w:r>
              <w:rPr>
                <w:rFonts w:eastAsia="仿宋_GB2312;方正仿宋_GBK" w:cs="仿宋_GB2312;方正仿宋_GBK" w:ascii="仿宋_GB2312;方正仿宋_GBK" w:hAnsi="仿宋_GB2312;方正仿宋_GBK"/>
                <w:b/>
                <w:bCs/>
                <w:sz w:val="28"/>
                <w:szCs w:val="28"/>
              </w:rPr>
            </w:r>
          </w:p>
        </w:tc>
        <w:tc>
          <w:tcPr>
            <w:tcW w:w="2239" w:type="dxa"/>
            <w:vMerge w:val="continue"/>
            <w:tcBorders>
              <w:top w:val="single" w:sz="4" w:space="0" w:color="000000"/>
              <w:left w:val="single" w:sz="4" w:space="0" w:color="000000"/>
              <w:bottom w:val="single" w:sz="4" w:space="0" w:color="000000"/>
              <w:right w:val="single" w:sz="4" w:space="0" w:color="000000"/>
            </w:tcBorders>
            <w:vAlign w:val="center"/>
          </w:tcPr>
          <w:p>
            <w:pPr>
              <w:pStyle w:val="ListParagraph"/>
              <w:snapToGrid w:val="false"/>
              <w:spacing w:lineRule="exact" w:line="360" w:before="0" w:after="0"/>
              <w:ind w:hanging="0"/>
              <w:contextualSpacing/>
              <w:jc w:val="center"/>
              <w:rPr>
                <w:rFonts w:ascii="Arial;DejaVu Sans" w:hAnsi="Arial;DejaVu Sans" w:eastAsia="方正仿宋_GB2312;方正仿宋_GBK" w:cs="仿宋_GB2312;方正仿宋_GBK"/>
                <w:b/>
                <w:b/>
                <w:bCs/>
                <w:sz w:val="28"/>
                <w:szCs w:val="28"/>
              </w:rPr>
            </w:pPr>
            <w:r>
              <w:rPr>
                <w:rFonts w:eastAsia="方正仿宋_GB2312;方正仿宋_GBK" w:cs="仿宋_GB2312;方正仿宋_GBK" w:ascii="Arial;DejaVu Sans" w:hAnsi="Arial;DejaVu Sans"/>
                <w:b/>
                <w:bCs/>
                <w:sz w:val="28"/>
                <w:szCs w:val="28"/>
              </w:rPr>
            </w:r>
          </w:p>
        </w:tc>
        <w:tc>
          <w:tcPr>
            <w:tcW w:w="15026" w:type="dxa"/>
            <w:tcBorders>
              <w:top w:val="single" w:sz="4" w:space="0" w:color="000000"/>
              <w:left w:val="single" w:sz="4" w:space="0" w:color="000000"/>
              <w:bottom w:val="single" w:sz="4" w:space="0" w:color="000000"/>
              <w:right w:val="single" w:sz="4" w:space="0" w:color="000000"/>
            </w:tcBorders>
            <w:vAlign w:val="center"/>
          </w:tcPr>
          <w:p>
            <w:pPr>
              <w:pStyle w:val="ListParagraph"/>
              <w:overflowPunct w:val="false"/>
              <w:snapToGrid w:val="false"/>
              <w:spacing w:lineRule="exact" w:line="400"/>
              <w:ind w:hanging="0"/>
              <w:jc w:val="left"/>
              <w:rPr>
                <w:rFonts w:ascii="仿宋;CESI仿宋-GB13000" w:hAnsi="仿宋;CESI仿宋-GB13000" w:eastAsia="仿宋;CESI仿宋-GB13000" w:cs="仿宋;CESI仿宋-GB13000"/>
                <w:sz w:val="28"/>
                <w:szCs w:val="28"/>
                <w:lang w:val="en-US" w:eastAsia="zh-CN"/>
              </w:rPr>
            </w:pPr>
            <w:r>
              <w:rPr>
                <w:rFonts w:eastAsia="仿宋;CESI仿宋-GB13000" w:cs="仿宋;CESI仿宋-GB13000" w:ascii="仿宋;CESI仿宋-GB13000" w:hAnsi="仿宋;CESI仿宋-GB13000"/>
                <w:sz w:val="28"/>
                <w:szCs w:val="28"/>
              </w:rPr>
              <w:t>5.</w:t>
            </w:r>
            <w:r>
              <w:rPr>
                <w:rFonts w:ascii="仿宋;CESI仿宋-GB13000" w:hAnsi="仿宋;CESI仿宋-GB13000" w:cs="仿宋;CESI仿宋-GB13000" w:eastAsia="仿宋;CESI仿宋-GB13000"/>
                <w:sz w:val="28"/>
                <w:szCs w:val="28"/>
              </w:rPr>
              <w:t>已备案的产品应按照规定时间开展年报工作。</w:t>
            </w:r>
          </w:p>
        </w:tc>
        <w:tc>
          <w:tcPr>
            <w:tcW w:w="2378"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360"/>
              <w:jc w:val="center"/>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t>□</w:t>
            </w:r>
            <w:r>
              <w:rPr>
                <w:rFonts w:ascii="仿宋_GB2312;方正仿宋_GBK" w:hAnsi="仿宋_GB2312;方正仿宋_GBK" w:cs="仿宋_GB2312;方正仿宋_GBK" w:eastAsia="仿宋_GB2312;方正仿宋_GBK"/>
                <w:sz w:val="28"/>
                <w:szCs w:val="28"/>
              </w:rPr>
              <w:t>符合 □不符合</w:t>
            </w:r>
          </w:p>
        </w:tc>
        <w:tc>
          <w:tcPr>
            <w:tcW w:w="85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360"/>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r>
          </w:p>
        </w:tc>
      </w:tr>
      <w:tr>
        <w:trPr/>
        <w:tc>
          <w:tcPr>
            <w:tcW w:w="79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360"/>
              <w:jc w:val="center"/>
              <w:rPr>
                <w:rFonts w:ascii="仿宋_GB2312;方正仿宋_GBK" w:hAnsi="仿宋_GB2312;方正仿宋_GBK" w:eastAsia="仿宋_GB2312;方正仿宋_GBK" w:cs="仿宋_GB2312;方正仿宋_GBK"/>
                <w:b/>
                <w:b/>
                <w:bCs/>
                <w:sz w:val="28"/>
                <w:szCs w:val="28"/>
              </w:rPr>
            </w:pPr>
            <w:r>
              <w:rPr>
                <w:rFonts w:eastAsia="仿宋_GB2312;方正仿宋_GBK" w:cs="仿宋_GB2312;方正仿宋_GBK" w:ascii="仿宋_GB2312;方正仿宋_GBK" w:hAnsi="仿宋_GB2312;方正仿宋_GBK"/>
                <w:b/>
                <w:bCs/>
                <w:sz w:val="28"/>
                <w:szCs w:val="28"/>
              </w:rPr>
            </w:r>
          </w:p>
        </w:tc>
        <w:tc>
          <w:tcPr>
            <w:tcW w:w="2239" w:type="dxa"/>
            <w:vMerge w:val="continue"/>
            <w:tcBorders>
              <w:top w:val="single" w:sz="4" w:space="0" w:color="000000"/>
              <w:left w:val="single" w:sz="4" w:space="0" w:color="000000"/>
              <w:bottom w:val="single" w:sz="4" w:space="0" w:color="000000"/>
              <w:right w:val="single" w:sz="4" w:space="0" w:color="000000"/>
            </w:tcBorders>
            <w:vAlign w:val="center"/>
          </w:tcPr>
          <w:p>
            <w:pPr>
              <w:pStyle w:val="ListParagraph"/>
              <w:snapToGrid w:val="false"/>
              <w:spacing w:lineRule="exact" w:line="360" w:before="0" w:after="0"/>
              <w:ind w:hanging="0"/>
              <w:contextualSpacing/>
              <w:jc w:val="center"/>
              <w:rPr>
                <w:rFonts w:ascii="Arial;DejaVu Sans" w:hAnsi="Arial;DejaVu Sans" w:eastAsia="方正仿宋_GB2312;方正仿宋_GBK" w:cs="仿宋_GB2312;方正仿宋_GBK"/>
                <w:b/>
                <w:b/>
                <w:bCs/>
                <w:sz w:val="28"/>
                <w:szCs w:val="28"/>
              </w:rPr>
            </w:pPr>
            <w:r>
              <w:rPr>
                <w:rFonts w:eastAsia="方正仿宋_GB2312;方正仿宋_GBK" w:cs="仿宋_GB2312;方正仿宋_GBK" w:ascii="Arial;DejaVu Sans" w:hAnsi="Arial;DejaVu Sans"/>
                <w:b/>
                <w:bCs/>
                <w:sz w:val="28"/>
                <w:szCs w:val="28"/>
              </w:rPr>
            </w:r>
          </w:p>
        </w:tc>
        <w:tc>
          <w:tcPr>
            <w:tcW w:w="15026" w:type="dxa"/>
            <w:tcBorders>
              <w:top w:val="single" w:sz="4" w:space="0" w:color="000000"/>
              <w:left w:val="single" w:sz="4" w:space="0" w:color="000000"/>
              <w:bottom w:val="single" w:sz="4" w:space="0" w:color="000000"/>
              <w:right w:val="single" w:sz="4" w:space="0" w:color="000000"/>
            </w:tcBorders>
            <w:vAlign w:val="center"/>
          </w:tcPr>
          <w:p>
            <w:pPr>
              <w:pStyle w:val="ListParagraph"/>
              <w:overflowPunct w:val="false"/>
              <w:snapToGrid w:val="false"/>
              <w:spacing w:lineRule="exact" w:line="400"/>
              <w:ind w:hanging="0"/>
              <w:jc w:val="left"/>
              <w:rPr>
                <w:rFonts w:ascii="仿宋;CESI仿宋-GB13000" w:hAnsi="仿宋;CESI仿宋-GB13000" w:eastAsia="仿宋;CESI仿宋-GB13000" w:cs="仿宋;CESI仿宋-GB13000"/>
                <w:sz w:val="28"/>
                <w:szCs w:val="28"/>
                <w:lang w:val="en-US" w:eastAsia="zh-CN"/>
              </w:rPr>
            </w:pPr>
            <w:r>
              <w:rPr>
                <w:rFonts w:eastAsia="仿宋;CESI仿宋-GB13000" w:cs="仿宋;CESI仿宋-GB13000" w:ascii="仿宋;CESI仿宋-GB13000" w:hAnsi="仿宋;CESI仿宋-GB13000"/>
                <w:sz w:val="28"/>
                <w:szCs w:val="28"/>
              </w:rPr>
              <w:t>6.</w:t>
            </w:r>
            <w:r>
              <w:rPr>
                <w:rFonts w:ascii="仿宋;CESI仿宋-GB13000" w:hAnsi="仿宋;CESI仿宋-GB13000" w:cs="仿宋;CESI仿宋-GB13000" w:eastAsia="仿宋;CESI仿宋-GB13000"/>
                <w:sz w:val="28"/>
                <w:szCs w:val="28"/>
              </w:rPr>
              <w:t>出口转国内销售：仅供出口的国产普通化妆品转为国内销售的，应按照国产普通化妆品要求重新申请备案，提交并留存对应的备案资料。</w:t>
            </w:r>
          </w:p>
        </w:tc>
        <w:tc>
          <w:tcPr>
            <w:tcW w:w="2378"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360"/>
              <w:jc w:val="center"/>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t>□</w:t>
            </w:r>
            <w:r>
              <w:rPr>
                <w:rFonts w:ascii="仿宋_GB2312;方正仿宋_GBK" w:hAnsi="仿宋_GB2312;方正仿宋_GBK" w:cs="仿宋_GB2312;方正仿宋_GBK" w:eastAsia="仿宋_GB2312;方正仿宋_GBK"/>
                <w:sz w:val="28"/>
                <w:szCs w:val="28"/>
              </w:rPr>
              <w:t>符合 □不符合</w:t>
            </w:r>
          </w:p>
        </w:tc>
        <w:tc>
          <w:tcPr>
            <w:tcW w:w="85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360"/>
              <w:rPr>
                <w:rFonts w:ascii="仿宋_GB2312;方正仿宋_GBK" w:hAnsi="仿宋_GB2312;方正仿宋_GBK" w:eastAsia="仿宋_GB2312;方正仿宋_GBK" w:cs="仿宋_GB2312;方正仿宋_GBK"/>
                <w:sz w:val="28"/>
                <w:szCs w:val="28"/>
              </w:rPr>
            </w:pPr>
            <w:r>
              <w:rPr>
                <w:rFonts w:eastAsia="仿宋_GB2312;方正仿宋_GBK" w:cs="仿宋_GB2312;方正仿宋_GBK" w:ascii="仿宋_GB2312;方正仿宋_GBK" w:hAnsi="仿宋_GB2312;方正仿宋_GBK"/>
                <w:sz w:val="28"/>
                <w:szCs w:val="28"/>
              </w:rPr>
            </w:r>
          </w:p>
        </w:tc>
      </w:tr>
    </w:tbl>
    <w:p>
      <w:pPr>
        <w:pStyle w:val="ListParagraph"/>
        <w:overflowPunct w:val="false"/>
        <w:snapToGrid w:val="false"/>
        <w:spacing w:lineRule="exact" w:line="400"/>
        <w:ind w:hanging="0"/>
        <w:jc w:val="left"/>
        <w:rPr>
          <w:rFonts w:ascii="仿宋;CESI仿宋-GB13000" w:hAnsi="仿宋;CESI仿宋-GB13000" w:eastAsia="仿宋;CESI仿宋-GB13000" w:cs="仿宋;CESI仿宋-GB13000"/>
          <w:sz w:val="28"/>
          <w:szCs w:val="28"/>
        </w:rPr>
      </w:pPr>
      <w:r>
        <w:rPr>
          <w:rFonts w:eastAsia="仿宋;CESI仿宋-GB13000" w:cs="仿宋;CESI仿宋-GB13000" w:ascii="仿宋;CESI仿宋-GB13000" w:hAnsi="仿宋;CESI仿宋-GB13000"/>
          <w:sz w:val="28"/>
          <w:szCs w:val="28"/>
        </w:rPr>
      </w:r>
    </w:p>
    <w:sectPr>
      <w:footerReference w:type="default" r:id="rId2"/>
      <w:type w:val="nextPage"/>
      <w:pgSz w:orient="landscape" w:w="23811" w:h="16838"/>
      <w:pgMar w:left="1440" w:right="1440" w:gutter="0" w:header="0" w:top="1800" w:footer="992" w:bottom="180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altName w:val="DejaVu Sans"/>
    <w:charset w:val="00"/>
    <w:family w:val="swiss"/>
    <w:pitch w:val="default"/>
  </w:font>
  <w:font w:name="宋体">
    <w:altName w:val="方正书宋_GBK"/>
    <w:charset w:val="86"/>
    <w:family w:val="auto"/>
    <w:pitch w:val="default"/>
  </w:font>
  <w:font w:name="Liberation Sans">
    <w:altName w:val="Arial"/>
    <w:charset w:val="01"/>
    <w:family w:val="swiss"/>
    <w:pitch w:val="variable"/>
  </w:font>
  <w:font w:name="黑体">
    <w:altName w:val="方正黑体_GBK"/>
    <w:charset w:val="00"/>
    <w:family w:val="auto"/>
    <w:pitch w:val="default"/>
  </w:font>
  <w:font w:name="方正公文小标宋">
    <w:altName w:val="CESI小标宋-GB13000"/>
    <w:charset w:val="00"/>
    <w:family w:val="auto"/>
    <w:pitch w:val="default"/>
  </w:font>
  <w:font w:name="仿宋_GB2312">
    <w:altName w:val="方正仿宋_GBK"/>
    <w:charset w:val="00"/>
    <w:family w:val="auto"/>
    <w:pitch w:val="default"/>
  </w:font>
  <w:font w:name="Arial">
    <w:altName w:val="DejaVu Sans"/>
    <w:charset w:val="00"/>
    <w:family w:val="swiss"/>
    <w:pitch w:val="default"/>
  </w:font>
  <w:font w:name="仿宋">
    <w:altName w:val="CESI仿宋-GB13000"/>
    <w:charset w:val="00"/>
    <w:family w:val="modern"/>
    <w:pitch w:val="default"/>
  </w:font>
  <w:font w:name="方正仿宋_GBK">
    <w:charset w:val="86"/>
    <w:family w:val="auto"/>
    <w:pitch w:val="default"/>
  </w:font>
  <w:font w:name="方正仿宋_GB2312">
    <w:altName w:val="方正仿宋_GBK"/>
    <w:charset w:val="00"/>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1" distT="0" distB="0" distL="114935" distR="114935" simplePos="0" locked="0" layoutInCell="0" allowOverlap="1" relativeHeight="10">
              <wp:simplePos x="0" y="0"/>
              <wp:positionH relativeFrom="margin">
                <wp:align>center</wp:align>
              </wp:positionH>
              <wp:positionV relativeFrom="paragraph">
                <wp:posOffset>635</wp:posOffset>
              </wp:positionV>
              <wp:extent cx="704850" cy="167005"/>
              <wp:effectExtent l="0" t="0" r="0" b="0"/>
              <wp:wrapNone/>
              <wp:docPr id="1" name="Frame1"/>
              <a:graphic xmlns:a="http://schemas.openxmlformats.org/drawingml/2006/main">
                <a:graphicData uri="http://schemas.microsoft.com/office/word/2010/wordprocessingShape">
                  <wps:wsp>
                    <wps:cNvSpPr txBox="1"/>
                    <wps:spPr>
                      <a:xfrm>
                        <a:off x="0" y="0"/>
                        <a:ext cx="704850" cy="167005"/>
                      </a:xfrm>
                      <a:prstGeom prst="rect"/>
                      <a:solidFill>
                        <a:srgbClr val="FFFFFF">
                          <a:alpha val="0"/>
                        </a:srgbClr>
                      </a:solidFill>
                    </wps:spPr>
                    <wps:txbx>
                      <w:txbxContent>
                        <w:p>
                          <w:pPr>
                            <w:pStyle w:val="Footer"/>
                            <w:rPr/>
                          </w:pPr>
                          <w:r>
                            <w:rPr/>
                            <w:t>第</w:t>
                          </w:r>
                          <w:r>
                            <w:rPr>
                              <w:rFonts w:cs="Calibri;DejaVu Sans" w:eastAsia="Calibri;DejaVu Sans"/>
                            </w:rPr>
                            <w:t xml:space="preserve"> </w:t>
                          </w:r>
                          <w:r>
                            <w:rPr/>
                            <w:fldChar w:fldCharType="begin"/>
                          </w:r>
                          <w:r>
                            <w:rPr/>
                            <w:instrText xml:space="preserve"> PAGE </w:instrText>
                          </w:r>
                          <w:r>
                            <w:rPr/>
                            <w:fldChar w:fldCharType="separate"/>
                          </w:r>
                          <w:r>
                            <w:rPr/>
                            <w:t>9</w:t>
                          </w:r>
                          <w:r>
                            <w:rPr/>
                            <w:fldChar w:fldCharType="end"/>
                          </w:r>
                          <w:r>
                            <w:rPr>
                              <w:rFonts w:cs="Calibri;DejaVu Sans" w:eastAsia="Calibri;DejaVu Sans"/>
                            </w:rPr>
                            <w:t xml:space="preserve"> </w:t>
                          </w:r>
                          <w:r>
                            <w:rPr/>
                            <w:t>页</w:t>
                          </w:r>
                          <w:r>
                            <w:rPr>
                              <w:rFonts w:cs="Calibri;DejaVu Sans" w:eastAsia="Calibri;DejaVu Sans"/>
                            </w:rPr>
                            <w:t xml:space="preserve"> </w:t>
                          </w:r>
                          <w:r>
                            <w:rPr/>
                            <w:t>共</w:t>
                          </w:r>
                          <w:r>
                            <w:rPr>
                              <w:rFonts w:cs="Calibri;DejaVu Sans" w:eastAsia="Calibri;DejaVu Sans"/>
                            </w:rPr>
                            <w:t xml:space="preserve"> </w:t>
                          </w:r>
                          <w:r>
                            <w:rPr/>
                            <w:fldChar w:fldCharType="begin"/>
                          </w:r>
                          <w:r>
                            <w:rPr/>
                            <w:instrText xml:space="preserve"> NUMPAGES \* ARABIC </w:instrText>
                          </w:r>
                          <w:r>
                            <w:rPr/>
                            <w:fldChar w:fldCharType="separate"/>
                          </w:r>
                          <w:r>
                            <w:rPr/>
                            <w:t>9</w:t>
                          </w:r>
                          <w:r>
                            <w:rPr/>
                            <w:fldChar w:fldCharType="end"/>
                          </w:r>
                          <w:r>
                            <w:rPr>
                              <w:rFonts w:cs="Calibri;DejaVu Sans" w:eastAsia="Calibri;DejaVu Sans"/>
                            </w:rPr>
                            <w:t xml:space="preserve"> </w:t>
                          </w:r>
                          <w:r>
                            <w:rPr/>
                            <w:t>页</w:t>
                          </w:r>
                        </w:p>
                      </w:txbxContent>
                    </wps:txbx>
                    <wps:bodyPr anchor="t" lIns="635" tIns="635" rIns="635" bIns="635">
                      <a:spAutoFit/>
                    </wps:bodyPr>
                  </wps:wsp>
                </a:graphicData>
              </a:graphic>
            </wp:anchor>
          </w:drawing>
        </mc:Choice>
        <mc:Fallback>
          <w:pict>
            <v:rect fillcolor="#FFFFFF" style="position:absolute;rotation:-0;width:55.5pt;height:13.15pt;mso-wrap-distance-left:9.05pt;mso-wrap-distance-right:9.05pt;mso-wrap-distance-top:0pt;mso-wrap-distance-bottom:0pt;margin-top:0pt;mso-position-vertical-relative:text;margin-left:495.5pt;mso-position-horizontal:center;mso-position-horizontal-relative:margin">
              <v:fill opacity="0f"/>
              <v:textbox inset="0.000694444444444444in,0.000694444444444444in,0.000694444444444444in,0.000694444444444444in">
                <w:txbxContent>
                  <w:p>
                    <w:pPr>
                      <w:pStyle w:val="Footer"/>
                      <w:rPr/>
                    </w:pPr>
                    <w:r>
                      <w:rPr/>
                      <w:t>第</w:t>
                    </w:r>
                    <w:r>
                      <w:rPr>
                        <w:rFonts w:cs="Calibri;DejaVu Sans" w:eastAsia="Calibri;DejaVu Sans"/>
                      </w:rPr>
                      <w:t xml:space="preserve"> </w:t>
                    </w:r>
                    <w:r>
                      <w:rPr/>
                      <w:fldChar w:fldCharType="begin"/>
                    </w:r>
                    <w:r>
                      <w:rPr/>
                      <w:instrText xml:space="preserve"> PAGE </w:instrText>
                    </w:r>
                    <w:r>
                      <w:rPr/>
                      <w:fldChar w:fldCharType="separate"/>
                    </w:r>
                    <w:r>
                      <w:rPr/>
                      <w:t>9</w:t>
                    </w:r>
                    <w:r>
                      <w:rPr/>
                      <w:fldChar w:fldCharType="end"/>
                    </w:r>
                    <w:r>
                      <w:rPr>
                        <w:rFonts w:cs="Calibri;DejaVu Sans" w:eastAsia="Calibri;DejaVu Sans"/>
                      </w:rPr>
                      <w:t xml:space="preserve"> </w:t>
                    </w:r>
                    <w:r>
                      <w:rPr/>
                      <w:t>页</w:t>
                    </w:r>
                    <w:r>
                      <w:rPr>
                        <w:rFonts w:cs="Calibri;DejaVu Sans" w:eastAsia="Calibri;DejaVu Sans"/>
                      </w:rPr>
                      <w:t xml:space="preserve"> </w:t>
                    </w:r>
                    <w:r>
                      <w:rPr/>
                      <w:t>共</w:t>
                    </w:r>
                    <w:r>
                      <w:rPr>
                        <w:rFonts w:cs="Calibri;DejaVu Sans" w:eastAsia="Calibri;DejaVu Sans"/>
                      </w:rPr>
                      <w:t xml:space="preserve"> </w:t>
                    </w:r>
                    <w:r>
                      <w:rPr/>
                      <w:fldChar w:fldCharType="begin"/>
                    </w:r>
                    <w:r>
                      <w:rPr/>
                      <w:instrText xml:space="preserve"> NUMPAGES \* ARABIC </w:instrText>
                    </w:r>
                    <w:r>
                      <w:rPr/>
                      <w:fldChar w:fldCharType="separate"/>
                    </w:r>
                    <w:r>
                      <w:rPr/>
                      <w:t>9</w:t>
                    </w:r>
                    <w:r>
                      <w:rPr/>
                      <w:fldChar w:fldCharType="end"/>
                    </w:r>
                    <w:r>
                      <w:rPr>
                        <w:rFonts w:cs="Calibri;DejaVu Sans" w:eastAsia="Calibri;DejaVu Sans"/>
                      </w:rPr>
                      <w:t xml:space="preserve"> </w:t>
                    </w:r>
                    <w:r>
                      <w:rPr/>
                      <w:t>页</w:t>
                    </w:r>
                  </w:p>
                </w:txbxContent>
              </v:textbox>
              <w10:wrap type="non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pStyle w:val="Heading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trackRevisions/>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FreeSans"/>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Calibri;DejaVu Sans" w:hAnsi="Calibri;DejaVu Sans" w:eastAsia="宋体;方正书宋_GBK" w:cs="Times New Roman;DejaVu Sans"/>
      <w:color w:val="auto"/>
      <w:kern w:val="2"/>
      <w:sz w:val="21"/>
      <w:szCs w:val="24"/>
      <w:lang w:val="en-US" w:eastAsia="zh-CN" w:bidi="ar-SA"/>
    </w:rPr>
  </w:style>
  <w:style w:type="paragraph" w:styleId="Heading2">
    <w:name w:val="Heading 2"/>
    <w:basedOn w:val="Normal"/>
    <w:next w:val="Normal"/>
    <w:qFormat/>
    <w:pPr>
      <w:numPr>
        <w:ilvl w:val="1"/>
        <w:numId w:val="1"/>
      </w:numPr>
      <w:spacing w:before="100" w:after="100"/>
      <w:jc w:val="left"/>
      <w:outlineLvl w:val="1"/>
    </w:pPr>
    <w:rPr>
      <w:rFonts w:ascii="宋体;方正书宋_GBK" w:hAnsi="宋体;方正书宋_GBK" w:cs="宋体;方正书宋_GBK"/>
      <w:b/>
      <w:bCs/>
      <w:sz w:val="36"/>
      <w:szCs w:val="36"/>
    </w:rPr>
  </w:style>
  <w:style w:type="paragraph" w:styleId="Heading4">
    <w:name w:val="Heading 4"/>
    <w:basedOn w:val="Normal"/>
    <w:next w:val="Normal"/>
    <w:qFormat/>
    <w:pPr>
      <w:numPr>
        <w:ilvl w:val="3"/>
        <w:numId w:val="1"/>
      </w:numPr>
      <w:spacing w:before="100" w:after="100"/>
      <w:jc w:val="left"/>
      <w:outlineLvl w:val="3"/>
    </w:pPr>
    <w:rPr>
      <w:rFonts w:ascii="宋体;方正书宋_GBK" w:hAnsi="宋体;方正书宋_GBK" w:eastAsia="宋体;方正书宋_GBK" w:cs="Times New Roman;DejaVu Sans"/>
      <w:b/>
      <w:bCs/>
      <w:kern w:val="0"/>
      <w:sz w:val="24"/>
    </w:rPr>
  </w:style>
  <w:style w:type="character" w:styleId="Style12">
    <w:name w:val="默认段落字体"/>
    <w:qFormat/>
    <w:rPr/>
  </w:style>
  <w:style w:type="character" w:styleId="Style13">
    <w:name w:val="批注文字 字符"/>
    <w:basedOn w:val="Style12"/>
    <w:qFormat/>
    <w:rPr>
      <w:kern w:val="2"/>
      <w:sz w:val="21"/>
      <w:szCs w:val="24"/>
    </w:rPr>
  </w:style>
  <w:style w:type="character" w:styleId="Style14">
    <w:name w:val="批注主题 字符"/>
    <w:basedOn w:val="Style13"/>
    <w:qFormat/>
    <w:rPr>
      <w:b/>
      <w:bCs/>
      <w:kern w:val="2"/>
      <w:sz w:val="21"/>
      <w:szCs w:val="24"/>
    </w:rPr>
  </w:style>
  <w:style w:type="character" w:styleId="StrongEmphasis">
    <w:name w:val="Strong Emphasis"/>
    <w:basedOn w:val="Style12"/>
    <w:qFormat/>
    <w:rPr>
      <w:b/>
    </w:rPr>
  </w:style>
  <w:style w:type="character" w:styleId="Style15">
    <w:name w:val="批注引用"/>
    <w:basedOn w:val="Style12"/>
    <w:qFormat/>
    <w:rPr>
      <w:sz w:val="21"/>
      <w:szCs w:val="21"/>
    </w:rPr>
  </w:style>
  <w:style w:type="paragraph" w:styleId="Heading">
    <w:name w:val="Heading"/>
    <w:basedOn w:val="Normal"/>
    <w:next w:val="TextBody"/>
    <w:qFormat/>
    <w:pPr>
      <w:keepNext w:val="true"/>
      <w:spacing w:before="240" w:after="120"/>
    </w:pPr>
    <w:rPr>
      <w:rFonts w:ascii="Liberation Sans" w:hAnsi="Liberation Sans" w:eastAsia="Noto Sans CJK SC" w:cs="Free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Style16">
    <w:name w:val="批注文字"/>
    <w:basedOn w:val="Normal"/>
    <w:qFormat/>
    <w:pPr>
      <w:jc w:val="left"/>
    </w:pPr>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Footer">
    <w:name w:val="Footer"/>
    <w:basedOn w:val="Normal"/>
    <w:pPr>
      <w:tabs>
        <w:tab w:val="clear" w:pos="420"/>
        <w:tab w:val="center" w:pos="4153" w:leader="none"/>
        <w:tab w:val="right" w:pos="8306" w:leader="none"/>
      </w:tabs>
      <w:snapToGrid w:val="false"/>
      <w:jc w:val="left"/>
    </w:pPr>
    <w:rPr>
      <w:sz w:val="18"/>
    </w:rPr>
  </w:style>
  <w:style w:type="paragraph" w:styleId="Header">
    <w:name w:val="Header"/>
    <w:basedOn w:val="Normal"/>
    <w:pPr>
      <w:pBdr/>
      <w:tabs>
        <w:tab w:val="clear" w:pos="420"/>
        <w:tab w:val="center" w:pos="4153" w:leader="none"/>
        <w:tab w:val="right" w:pos="8306" w:leader="none"/>
      </w:tabs>
      <w:snapToGrid w:val="false"/>
    </w:pPr>
    <w:rPr>
      <w:sz w:val="18"/>
    </w:rPr>
  </w:style>
  <w:style w:type="paragraph" w:styleId="Style17">
    <w:name w:val="批注主题"/>
    <w:basedOn w:val="Style16"/>
    <w:next w:val="Style16"/>
    <w:qFormat/>
    <w:pPr/>
    <w:rPr>
      <w:b/>
      <w:bCs/>
    </w:rPr>
  </w:style>
  <w:style w:type="paragraph" w:styleId="ListParagraph">
    <w:name w:val="List Paragraph"/>
    <w:basedOn w:val="Normal"/>
    <w:qFormat/>
    <w:pPr>
      <w:ind w:firstLine="420"/>
    </w:pPr>
    <w:rPr>
      <w:rFonts w:ascii="Calibri;DejaVu Sans" w:hAnsi="Calibri;DejaVu Sans" w:eastAsia="宋体;方正书宋_GBK" w:cs="Times New Roman;DejaVu San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4800</TotalTime>
  <Application>LibreOffice/7.3.7.2$Linux_X86_64 LibreOffice_project/30$Build-2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2026-05-29T05:51:00Z</dcterms:created>
  <dc:creator>猪猪</dc:creator>
  <dc:description/>
  <dc:language>en-US</dc:language>
  <cp:lastModifiedBy>zy</cp:lastModifiedBy>
  <cp:lastPrinted>2026-05-29T16:27:00Z</cp:lastPrinted>
  <dcterms:modified xsi:type="dcterms:W3CDTF">2026-05-29T10:59:07Z</dcterms:modified>
  <cp:revision>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BCC918DBD11578CD62FA186A0CAC4392_43</vt:lpwstr>
  </property>
  <property fmtid="{D5CDD505-2E9C-101B-9397-08002B2CF9AE}" pid="3" name="KSOProductBuildVer">
    <vt:lpwstr>2052-11.8.2.10125</vt:lpwstr>
  </property>
  <property fmtid="{D5CDD505-2E9C-101B-9397-08002B2CF9AE}" pid="4" name="KSOTemplateDocerSaveRecord">
    <vt:lpwstr>eyJoZGlkIjoiNmMxMGRjMzE2MDQ5ZjA5NjQ4ZTI0MDVjNDJhMDdlYmYiLCJ1c2VySWQiOiI0MzUxMzYzMDIifQ==</vt:lpwstr>
  </property>
</Properties>
</file>