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2415">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bookmarkStart w:id="3" w:name="_GoBack"/>
      <w:r>
        <w:rPr>
          <w:rFonts w:hint="eastAsia" w:ascii="方正小标宋_GBK" w:hAnsi="方正小标宋_GBK" w:eastAsia="方正小标宋_GBK" w:cs="方正小标宋_GBK"/>
          <w:sz w:val="44"/>
          <w:szCs w:val="44"/>
        </w:rPr>
        <w:t>关于全面深化药品医疗器械化妆品监管改革促进医药产业高质量发展的若干措施</w:t>
      </w:r>
      <w:bookmarkEnd w:id="3"/>
    </w:p>
    <w:p w14:paraId="050236FF">
      <w:pPr>
        <w:pStyle w:val="2"/>
        <w:overflowPunct w:val="0"/>
        <w:adjustRightInd w:val="0"/>
        <w:snapToGrid w:val="0"/>
        <w:spacing w:before="0" w:beforeAutospacing="0" w:after="0" w:line="580" w:lineRule="exact"/>
        <w:jc w:val="center"/>
        <w:rPr>
          <w:rFonts w:hint="eastAsia" w:ascii="楷体_GB2312" w:hAnsi="楷体_GB2312" w:eastAsia="楷体_GB2312" w:cs="楷体_GB2312"/>
          <w:b/>
          <w:bCs/>
        </w:rPr>
      </w:pPr>
      <w:r>
        <w:rPr>
          <w:rFonts w:hint="eastAsia" w:ascii="楷体_GB2312" w:hAnsi="楷体_GB2312" w:eastAsia="楷体_GB2312" w:cs="楷体_GB2312"/>
          <w:b/>
          <w:bCs/>
        </w:rPr>
        <w:t>（</w:t>
      </w:r>
      <w:r>
        <w:rPr>
          <w:rFonts w:hint="eastAsia" w:ascii="楷体_GB2312" w:hAnsi="楷体_GB2312" w:eastAsia="楷体_GB2312" w:cs="楷体_GB2312"/>
          <w:b/>
          <w:bCs/>
          <w:lang w:val="en-US" w:eastAsia="zh-CN"/>
        </w:rPr>
        <w:t>征求意见</w:t>
      </w:r>
      <w:r>
        <w:rPr>
          <w:rFonts w:hint="eastAsia" w:ascii="楷体_GB2312" w:hAnsi="楷体_GB2312" w:eastAsia="楷体_GB2312" w:cs="楷体_GB2312"/>
          <w:b/>
          <w:bCs/>
        </w:rPr>
        <w:t>稿）</w:t>
      </w:r>
    </w:p>
    <w:p w14:paraId="446FFCF7">
      <w:pPr>
        <w:spacing w:line="580" w:lineRule="exact"/>
        <w:ind w:firstLine="640" w:firstLineChars="200"/>
        <w:rPr>
          <w:rFonts w:hint="eastAsia" w:ascii="仿宋_GB2312" w:hAnsi="仿宋_GB2312" w:eastAsia="仿宋_GB2312" w:cs="仿宋_GB2312"/>
          <w:sz w:val="32"/>
          <w:szCs w:val="32"/>
        </w:rPr>
      </w:pPr>
    </w:p>
    <w:p w14:paraId="1D3B47E7">
      <w:pPr>
        <w:spacing w:line="600" w:lineRule="exact"/>
        <w:ind w:firstLine="640" w:firstLineChars="200"/>
        <w:rPr>
          <w:rFonts w:hint="eastAsia" w:ascii="国标仿宋-GB/T 2312" w:hAnsi="国标仿宋-GB/T 2312" w:eastAsia="国标仿宋-GB/T 2312" w:cs="国标仿宋-GB/T 2312"/>
          <w:sz w:val="32"/>
          <w:szCs w:val="32"/>
        </w:rPr>
      </w:pPr>
      <w:r>
        <w:rPr>
          <w:rFonts w:hint="eastAsia" w:ascii="仿宋_GB2312" w:hAnsi="仿宋_GB2312" w:eastAsia="仿宋_GB2312" w:cs="仿宋_GB2312"/>
          <w:sz w:val="32"/>
          <w:szCs w:val="32"/>
        </w:rPr>
        <w:t>为深入贯彻落实《国务院办公厅关于全面深化药品医疗器械监管改革促进医药产业高质量发展的意见》（国办发〔2024〕53号）、《国家药监局关于深化化妆品监管改革促进产业高质量发展的意见》（国药监妆〔2025〕18号）和《江西省人民政府办公厅关于全面深化药品医疗器械化妆品监管改革促进医药产业高质量发展的实施意见》（赣府厅发〔2025〕31号），加快促进我市医药产业高质量发展，加强药品、医疗器械和化妆品全链条监管，经市政府同意，制定如下措施。</w:t>
      </w:r>
    </w:p>
    <w:p w14:paraId="60BC2818">
      <w:pPr>
        <w:spacing w:line="600" w:lineRule="exact"/>
        <w:ind w:firstLine="640" w:firstLineChars="200"/>
        <w:rPr>
          <w:rFonts w:hint="eastAsia" w:ascii="国标黑体-GB/T 2312" w:hAnsi="国标黑体-GB/T 2312" w:eastAsia="国标黑体-GB/T 2312" w:cs="国标黑体-GB/T 2312"/>
          <w:sz w:val="32"/>
          <w:szCs w:val="32"/>
        </w:rPr>
      </w:pPr>
      <w:r>
        <w:rPr>
          <w:rFonts w:hint="eastAsia" w:ascii="国标黑体-GB/T 2312" w:hAnsi="国标黑体-GB/T 2312" w:eastAsia="国标黑体-GB/T 2312" w:cs="国标黑体-GB/T 2312"/>
          <w:sz w:val="32"/>
          <w:szCs w:val="32"/>
        </w:rPr>
        <w:t>一、支持药品医疗器械化妆品研发创新</w:t>
      </w:r>
    </w:p>
    <w:p w14:paraId="13D37C2A">
      <w:pPr>
        <w:widowControl/>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1.积极参与省级</w:t>
      </w:r>
      <w:r>
        <w:rPr>
          <w:rFonts w:hint="eastAsia" w:ascii="国标仿宋-GB/T 2312" w:hAnsi="国标仿宋-GB/T 2312" w:eastAsia="国标仿宋-GB/T 2312" w:cs="国标仿宋-GB/T 2312"/>
          <w:sz w:val="32"/>
          <w:szCs w:val="32"/>
        </w:rPr>
        <w:t>药品医疗器械和化妆品</w:t>
      </w:r>
      <w:r>
        <w:rPr>
          <w:rFonts w:hint="eastAsia" w:ascii="仿宋_GB2312" w:hAnsi="仿宋_GB2312" w:eastAsia="仿宋_GB2312" w:cs="仿宋_GB2312"/>
          <w:sz w:val="32"/>
          <w:szCs w:val="32"/>
        </w:rPr>
        <w:t>研发创新服务试点，力争在医药健康产业集聚区域建立省地药品审评事务交流协作机制。在医药产业领域开展质量提升行动区域试点，建设</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个省级企业质量管理体系认证提升行动区域试点集群。</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w:t>
      </w:r>
    </w:p>
    <w:p w14:paraId="13691B91">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2.鼓励医药企业加大自主研发力度，支持新药开发、支持新医疗器械开发和支持化学药仿制药一致性评</w:t>
      </w:r>
      <w:r>
        <w:rPr>
          <w:rFonts w:hint="eastAsia" w:ascii="仿宋_GB2312" w:hAnsi="仿宋_GB2312" w:eastAsia="仿宋_GB2312" w:cs="仿宋_GB2312"/>
          <w:sz w:val="32"/>
          <w:szCs w:val="32"/>
          <w:highlight w:val="none"/>
        </w:rPr>
        <w:t>价。除享受《江西省人民政府办公厅关于全面深化药品医疗器械化妆品监管改革促进医药产业高质量发展的实施意见》政策外，对</w:t>
      </w:r>
      <w:r>
        <w:rPr>
          <w:rFonts w:hint="eastAsia" w:ascii="仿宋_GB2312" w:hAnsi="仿宋_GB2312" w:eastAsia="仿宋_GB2312" w:cs="仿宋_GB2312"/>
          <w:sz w:val="32"/>
          <w:szCs w:val="32"/>
        </w:rPr>
        <w:t>企业开发的创新药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改良型新药（含化学药、生物制品、中药）</w:t>
      </w:r>
      <w:r>
        <w:rPr>
          <w:rFonts w:hint="eastAsia" w:ascii="仿宋_GB2312" w:hAnsi="仿宋_GB2312" w:eastAsia="仿宋_GB2312" w:cs="仿宋_GB2312"/>
          <w:sz w:val="32"/>
          <w:szCs w:val="32"/>
          <w:lang w:eastAsia="zh-CN"/>
        </w:rPr>
        <w:t>给予政策支持；</w:t>
      </w:r>
      <w:r>
        <w:rPr>
          <w:rFonts w:hint="eastAsia" w:ascii="仿宋_GB2312" w:hAnsi="仿宋_GB2312" w:eastAsia="仿宋_GB2312" w:cs="仿宋_GB2312"/>
          <w:sz w:val="32"/>
          <w:szCs w:val="32"/>
        </w:rPr>
        <w:t>对新取得药品注册证书的3类化学药、3类生物制品、古代经典名方中药复方制剂、一</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三类兽药注册证书的企业，</w:t>
      </w:r>
      <w:r>
        <w:rPr>
          <w:rFonts w:hint="eastAsia" w:ascii="仿宋_GB2312" w:hAnsi="仿宋_GB2312" w:eastAsia="仿宋_GB2312" w:cs="仿宋_GB2312"/>
          <w:sz w:val="32"/>
          <w:szCs w:val="32"/>
          <w:lang w:eastAsia="zh-CN"/>
        </w:rPr>
        <w:t>给予政策支持；</w:t>
      </w:r>
      <w:r>
        <w:rPr>
          <w:rFonts w:hint="eastAsia" w:ascii="仿宋_GB2312" w:hAnsi="仿宋_GB2312" w:eastAsia="仿宋_GB2312" w:cs="仿宋_GB2312"/>
          <w:sz w:val="32"/>
          <w:szCs w:val="32"/>
        </w:rPr>
        <w:t>对新获得第二类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创新医疗器械注册证的企业，</w:t>
      </w:r>
      <w:r>
        <w:rPr>
          <w:rFonts w:hint="eastAsia" w:ascii="仿宋_GB2312" w:hAnsi="仿宋_GB2312" w:eastAsia="仿宋_GB2312" w:cs="仿宋_GB2312"/>
          <w:sz w:val="32"/>
          <w:szCs w:val="32"/>
          <w:lang w:eastAsia="zh-CN"/>
        </w:rPr>
        <w:t>给予政策支持</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市工业和信息化局、各县区政府、开发区管委会和湾里管理局配合）</w:t>
      </w:r>
    </w:p>
    <w:p w14:paraId="4DC4EB73">
      <w:pPr>
        <w:widowControl/>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3.实施省市联合自然科学基金项目，</w:t>
      </w:r>
      <w:r>
        <w:rPr>
          <w:rFonts w:hint="eastAsia" w:ascii="仿宋_GB2312" w:hAnsi="CESI仿宋-GB18030" w:eastAsia="仿宋_GB2312" w:cs="CESI仿宋-GB18030"/>
          <w:spacing w:val="-2"/>
          <w:sz w:val="32"/>
          <w:szCs w:val="32"/>
        </w:rPr>
        <w:t>支持医药健康产业关键技术攻关，对获立项的项目给予80万—100万元资金支持。</w:t>
      </w:r>
      <w:r>
        <w:rPr>
          <w:rFonts w:hint="eastAsia" w:ascii="仿宋_GB2312" w:hAnsi="仿宋_GB2312" w:eastAsia="仿宋_GB2312" w:cs="仿宋_GB2312"/>
          <w:sz w:val="32"/>
          <w:szCs w:val="32"/>
        </w:rPr>
        <w:t>实施“一企业一博士”科技人才服务行动，推动产业链与创新链、人才链深度融合。</w:t>
      </w:r>
      <w:r>
        <w:rPr>
          <w:rFonts w:hint="eastAsia" w:ascii="仿宋_GB2312" w:hAnsi="CESI仿宋-GB18030" w:eastAsia="仿宋_GB2312" w:cs="CESI仿宋-GB18030"/>
          <w:spacing w:val="-2"/>
          <w:sz w:val="32"/>
          <w:szCs w:val="32"/>
        </w:rPr>
        <w:t>实施市级科技重大专项“1030攻坚行动”，力争2026年启动1项医药健康领域市级重大专项，按全产业链协同方式布局3-6个子项目，并给予每个子项目300万元—500万元经费支持。</w:t>
      </w:r>
      <w:r>
        <w:rPr>
          <w:rFonts w:hint="eastAsia" w:ascii="仿宋_GB2312" w:hAnsi="仿宋_GB2312" w:eastAsia="仿宋_GB2312" w:cs="仿宋_GB2312"/>
          <w:sz w:val="32"/>
          <w:szCs w:val="32"/>
        </w:rPr>
        <w:t>引导医药企业在外设立高水平研发机构，促进科技成果在我市转化，对“研发飞地”在南昌转化的科技成果项目，依据项目实际投入金额及产值实现等情况综合评定后，择优给予单个项目最高不超过100万元的资金支持。</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市科技创新局）</w:t>
      </w:r>
    </w:p>
    <w:p w14:paraId="2457F0C9">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4.鼓励金融机构结合医药企业生产特点，创新金融产品，加大信贷投放，为企业提供全生命周期的金融服务。鼓励具备潜力的医药企业进入上市储备库，推动更多优质医药企业登陆境内外资本市场。</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市金融办）</w:t>
      </w:r>
    </w:p>
    <w:p w14:paraId="42E33903">
      <w:pPr>
        <w:adjustRightInd w:val="0"/>
        <w:snapToGrid w:val="0"/>
        <w:spacing w:line="600" w:lineRule="exact"/>
        <w:ind w:firstLine="640" w:firstLineChars="200"/>
        <w:rPr>
          <w:rFonts w:hint="eastAsia" w:ascii="方正仿宋_GBK" w:hAnsi="方正仿宋_GBK" w:eastAsia="方正仿宋_GBK" w:cs="方正仿宋_GBK"/>
          <w:b/>
          <w:bCs/>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u w:val="none"/>
        </w:rPr>
        <w:t>加强医疗、医保、医药信息互通与协同，在确保数据安全、合法合规的基础上，为创新药械研发提供数据服务。</w:t>
      </w:r>
      <w:r>
        <w:rPr>
          <w:rFonts w:ascii="仿宋_GB2312" w:hAnsi="仿宋_GB2312" w:eastAsia="仿宋_GB2312" w:cs="仿宋_GB2312"/>
          <w:sz w:val="32"/>
          <w:szCs w:val="32"/>
        </w:rPr>
        <w:t>组织</w:t>
      </w:r>
      <w:r>
        <w:rPr>
          <w:rFonts w:hint="eastAsia" w:ascii="仿宋_GB2312" w:hAnsi="仿宋_GB2312" w:eastAsia="仿宋_GB2312" w:cs="仿宋_GB2312"/>
          <w:sz w:val="32"/>
          <w:szCs w:val="32"/>
        </w:rPr>
        <w:t>我市</w:t>
      </w:r>
      <w:r>
        <w:rPr>
          <w:rFonts w:ascii="仿宋_GB2312" w:hAnsi="仿宋_GB2312" w:eastAsia="仿宋_GB2312" w:cs="仿宋_GB2312"/>
          <w:sz w:val="32"/>
          <w:szCs w:val="32"/>
        </w:rPr>
        <w:t>医疗机构梳理临床需求，推动与企业研发对接</w:t>
      </w:r>
      <w:r>
        <w:rPr>
          <w:rFonts w:hint="eastAsia" w:ascii="仿宋_GB2312" w:hAnsi="仿宋_GB2312" w:eastAsia="仿宋_GB2312" w:cs="仿宋_GB2312"/>
          <w:sz w:val="32"/>
          <w:szCs w:val="32"/>
        </w:rPr>
        <w:t>，强化医工协同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支持我市医疗机构对受托开展中药代煎的企事业单位，做好电子处方流转对接，实现中药代煎服务的智能化、规范化发展。</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市卫生健康委）</w:t>
      </w:r>
    </w:p>
    <w:p w14:paraId="1678E93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u w:val="none"/>
        </w:rPr>
        <w:t>.支持中药大品种创新改良，运用新技术、新工艺等进行二次开发。支持</w:t>
      </w:r>
      <w:r>
        <w:rPr>
          <w:rFonts w:hint="eastAsia" w:ascii="仿宋_GB2312" w:hAnsi="仿宋_GB2312" w:eastAsia="仿宋_GB2312" w:cs="仿宋_GB2312"/>
          <w:sz w:val="32"/>
          <w:szCs w:val="32"/>
        </w:rPr>
        <w:t>我市中医医疗机构建立完善收集整理人用经验数据的机制，服务中药创新研发。</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市卫生健康委）</w:t>
      </w:r>
    </w:p>
    <w:p w14:paraId="3EFC9532">
      <w:pPr>
        <w:widowControl/>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7.积</w:t>
      </w:r>
      <w:r>
        <w:rPr>
          <w:rFonts w:hint="eastAsia" w:ascii="仿宋_GB2312" w:hAnsi="仿宋_GB2312" w:eastAsia="仿宋_GB2312" w:cs="仿宋_GB2312"/>
          <w:sz w:val="32"/>
          <w:szCs w:val="32"/>
          <w:u w:val="none"/>
        </w:rPr>
        <w:t>极推动完善中医药标准化体系，围绕“赣十味”“赣食十味”等道地特色大品种中药材，在种植、养殖、生产加工、贮藏等方面开展标准化研究。积</w:t>
      </w:r>
      <w:r>
        <w:rPr>
          <w:rFonts w:hint="eastAsia" w:ascii="仿宋_GB2312" w:hAnsi="仿宋_GB2312" w:eastAsia="仿宋_GB2312" w:cs="仿宋_GB2312"/>
          <w:sz w:val="32"/>
          <w:szCs w:val="32"/>
        </w:rPr>
        <w:t>极参与或制定江西省、南昌市中药饮片、中成药质量分级评价标准或指南。鼓励我市医药企事业单位主导或参与标准制修订。</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市市场监管局、市卫生健康委、市工业和信息化局、市商务局、市发展改革委）</w:t>
      </w:r>
    </w:p>
    <w:p w14:paraId="391CCCE1">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kern w:val="0"/>
          <w:sz w:val="32"/>
          <w:szCs w:val="32"/>
        </w:rPr>
        <w:t>8.鼓励种植基地积极参与中药生产企业的对接合作，</w:t>
      </w:r>
      <w:r>
        <w:rPr>
          <w:rFonts w:hint="eastAsia" w:ascii="仿宋_GB2312" w:hAnsi="仿宋_GB2312" w:eastAsia="仿宋_GB2312" w:cs="仿宋_GB2312"/>
          <w:sz w:val="32"/>
          <w:szCs w:val="32"/>
        </w:rPr>
        <w:t>培育</w:t>
      </w:r>
      <w:r>
        <w:rPr>
          <w:rFonts w:hint="eastAsia" w:ascii="仿宋_GB2312" w:hAnsi="仿宋_GB2312" w:eastAsia="仿宋_GB2312" w:cs="仿宋_GB2312"/>
          <w:sz w:val="32"/>
          <w:szCs w:val="32"/>
          <w:shd w:val="clear" w:color="auto" w:fill="FFFFFF"/>
        </w:rPr>
        <w:t>农业产业化龙头企业，对首次认定的国家级、省级、市级农业产业化龙头企业，分别给予 80 万元、20 万元、10 万元的奖励。</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市农业农村局）</w:t>
      </w:r>
    </w:p>
    <w:p w14:paraId="4485DD6B">
      <w:pPr>
        <w:widowControl/>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u w:val="none"/>
        </w:rPr>
        <w:t>对获得省市场监督管理局认定并验收通过的我市的医药领域高价值专利（组合）培育项目，给予一次性不超过10万元的补助，每年补助不超过10个。对经市市场监督管理局评定的医药领域高价值专利培育中心项目，给予一次性不超过30万元的资金补助，每年补助不超过5个。</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w:t>
      </w:r>
      <w:r>
        <w:rPr>
          <w:rFonts w:hint="eastAsia" w:ascii="楷体_GB2312" w:hAnsi="楷体_GB2312" w:eastAsia="楷体_GB2312" w:cs="楷体_GB2312"/>
          <w:sz w:val="32"/>
          <w:szCs w:val="32"/>
          <w:lang w:eastAsia="zh-CN"/>
        </w:rPr>
        <w:t>、市财政局</w:t>
      </w:r>
      <w:r>
        <w:rPr>
          <w:rFonts w:hint="eastAsia" w:ascii="楷体_GB2312" w:hAnsi="楷体_GB2312" w:eastAsia="楷体_GB2312" w:cs="楷体_GB2312"/>
          <w:sz w:val="32"/>
          <w:szCs w:val="32"/>
        </w:rPr>
        <w:t>）</w:t>
      </w:r>
    </w:p>
    <w:p w14:paraId="408C20A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.鼓励具有独立法人资格的高等院校、科研院所、医疗卫生机构、企业和社会组织等自建或共建实验室或技术创新中心，对建设期满且考评优秀的</w:t>
      </w:r>
      <w:r>
        <w:rPr>
          <w:rFonts w:ascii="仿宋_GB2312" w:hAnsi="仿宋_GB2312" w:eastAsia="仿宋_GB2312" w:cs="仿宋_GB2312"/>
          <w:sz w:val="32"/>
          <w:szCs w:val="32"/>
        </w:rPr>
        <w:t>市重点</w:t>
      </w:r>
      <w:r>
        <w:rPr>
          <w:rFonts w:hint="eastAsia" w:ascii="仿宋_GB2312" w:hAnsi="仿宋_GB2312" w:eastAsia="仿宋_GB2312" w:cs="仿宋_GB2312"/>
          <w:sz w:val="32"/>
          <w:szCs w:val="32"/>
        </w:rPr>
        <w:t>实验室或</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技术创新中心，给予每家不超过100万元市科技计划项目立项资助，并优先推荐申报省级科技创新平台。对经市科技创新局推荐新认定的省重点实验室（省技术创新中心），给予不超过50万元市科技计划项目立项资助。对新认定的由驻昌企业或高校牵头或参与组建的，且布局方向与我市重点产业相契合的全国重点实验室（国家技术创新中心），给予不超过500万元市科技计划项目立项资助。</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市科技创新局、市工业和信息化局）</w:t>
      </w:r>
    </w:p>
    <w:p w14:paraId="4679B3A6">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.建立健全</w:t>
      </w:r>
      <w:r>
        <w:rPr>
          <w:rFonts w:ascii="仿宋_GB2312" w:hAnsi="仿宋_GB2312" w:eastAsia="仿宋_GB2312" w:cs="仿宋_GB2312"/>
          <w:sz w:val="32"/>
          <w:szCs w:val="32"/>
        </w:rPr>
        <w:t>卫生健康科技</w:t>
      </w:r>
      <w:r>
        <w:rPr>
          <w:rFonts w:hint="eastAsia" w:ascii="仿宋_GB2312" w:hAnsi="仿宋_GB2312" w:eastAsia="仿宋_GB2312" w:cs="仿宋_GB2312"/>
          <w:sz w:val="32"/>
          <w:szCs w:val="32"/>
        </w:rPr>
        <w:t>创新</w:t>
      </w:r>
      <w:r>
        <w:rPr>
          <w:rFonts w:ascii="仿宋_GB2312" w:hAnsi="仿宋_GB2312" w:eastAsia="仿宋_GB2312" w:cs="仿宋_GB2312"/>
          <w:sz w:val="32"/>
          <w:szCs w:val="32"/>
        </w:rPr>
        <w:t>协同机制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积极引导市级医疗机构、公共卫生机构深度参与市级科研项目攻关、科研平台共建、临床科研成果转化等重点任务，稳步提升全市临床研究整体能级。</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市卫生健康委）</w:t>
      </w:r>
    </w:p>
    <w:p w14:paraId="562F6659">
      <w:pPr>
        <w:widowControl/>
        <w:adjustRightInd w:val="0"/>
        <w:snapToGrid w:val="0"/>
        <w:spacing w:line="600" w:lineRule="exact"/>
        <w:ind w:firstLine="632" w:firstLineChars="200"/>
        <w:rPr>
          <w:rFonts w:hint="eastAsia" w:ascii="楷体_GB2312" w:hAnsi="楷体_GB2312" w:eastAsia="楷体_GB2312" w:cs="楷体_GB2312"/>
          <w:sz w:val="32"/>
          <w:szCs w:val="32"/>
        </w:rPr>
      </w:pPr>
      <w:r>
        <w:rPr>
          <w:rFonts w:hint="eastAsia" w:ascii="仿宋_GB2312" w:hAnsi="CESI仿宋-GB18030" w:eastAsia="仿宋_GB2312" w:cs="CESI仿宋-GB18030"/>
          <w:spacing w:val="-2"/>
          <w:sz w:val="32"/>
          <w:szCs w:val="32"/>
        </w:rPr>
        <w:t>1</w:t>
      </w:r>
      <w:r>
        <w:rPr>
          <w:rFonts w:hint="eastAsia" w:ascii="仿宋_GB2312" w:hAnsi="CESI仿宋-GB18030" w:eastAsia="仿宋_GB2312" w:cs="CESI仿宋-GB18030"/>
          <w:spacing w:val="-2"/>
          <w:sz w:val="32"/>
          <w:szCs w:val="32"/>
          <w:lang w:val="en-US" w:eastAsia="zh-CN"/>
        </w:rPr>
        <w:t>2</w:t>
      </w:r>
      <w:r>
        <w:rPr>
          <w:rFonts w:hint="eastAsia" w:ascii="仿宋_GB2312" w:hAnsi="CESI仿宋-GB18030" w:eastAsia="仿宋_GB2312" w:cs="CESI仿宋-GB18030"/>
          <w:spacing w:val="-2"/>
          <w:sz w:val="32"/>
          <w:szCs w:val="32"/>
        </w:rPr>
        <w:t>.加强与省卫生健康委、国家区域医疗中心的沟通协作，大力支持</w:t>
      </w:r>
      <w:bookmarkStart w:id="0" w:name="_Hlk225087244"/>
      <w:r>
        <w:rPr>
          <w:rFonts w:hint="eastAsia" w:ascii="仿宋_GB2312" w:hAnsi="CESI仿宋-GB18030" w:eastAsia="仿宋_GB2312" w:cs="CESI仿宋-GB18030"/>
          <w:spacing w:val="-2"/>
          <w:sz w:val="32"/>
          <w:szCs w:val="32"/>
        </w:rPr>
        <w:t>国家区域医疗中心</w:t>
      </w:r>
      <w:bookmarkEnd w:id="0"/>
      <w:r>
        <w:rPr>
          <w:rFonts w:hint="eastAsia" w:ascii="仿宋_GB2312" w:hAnsi="CESI仿宋-GB18030" w:eastAsia="仿宋_GB2312" w:cs="CESI仿宋-GB18030"/>
          <w:spacing w:val="-2"/>
          <w:sz w:val="32"/>
          <w:szCs w:val="32"/>
        </w:rPr>
        <w:t>医药领域科技创新，争取更多科研成果在我市转化落地。</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市卫生健康委、市科技创新局）</w:t>
      </w:r>
    </w:p>
    <w:p w14:paraId="3819877A">
      <w:pPr>
        <w:overflowPunct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二、加快创新产品应用推广</w:t>
      </w:r>
    </w:p>
    <w:p w14:paraId="311E8B65">
      <w:pPr>
        <w:adjustRightInd w:val="0"/>
        <w:snapToGrid w:val="0"/>
        <w:spacing w:line="60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.为市内创新医药企业参与申报创新药品和国家谈判药品提供政策指导，支持我市创新药品进入国家医保药品目</w:t>
      </w:r>
      <w:r>
        <w:rPr>
          <w:rFonts w:hint="eastAsia" w:ascii="仿宋_GB2312" w:hAnsi="仿宋_GB2312" w:eastAsia="仿宋_GB2312" w:cs="仿宋_GB2312"/>
          <w:sz w:val="32"/>
          <w:szCs w:val="32"/>
          <w:u w:val="none"/>
        </w:rPr>
        <w:t>录或商保药品目录，支持我市创新器械进入医用耗材目录。鼓励商业健康保险公司通过多种方式，为创新药研发提供稳定的长期投资。</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市医保局、市金融办</w:t>
      </w:r>
      <w:r>
        <w:rPr>
          <w:rFonts w:hint="eastAsia" w:ascii="仿宋_GB2312" w:hAnsi="仿宋_GB2312" w:eastAsia="仿宋_GB2312" w:cs="仿宋_GB2312"/>
          <w:sz w:val="32"/>
          <w:szCs w:val="32"/>
        </w:rPr>
        <w:t>）</w:t>
      </w:r>
    </w:p>
    <w:p w14:paraId="0AFCFBF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督促我市定点医疗机构于药品目录、医用耗材目录、商保目录更新公布后3个月内，及时召开药事会调整医疗机构药械配备，或者设立临时采购绿色通道，保证临床诊疗需求和参保患者合理使用权益。我市定点医疗机构不得以医保总额控制、药占比、次均费用、DRG支付方式改革、用药目录品种限制、药事委员会评审、已纳入单行支付管理等为由影响国家谈判药品进院落地、配备使用。建立创新药械与医保支付政策联动，按国家、省医保局规定比例纳入特例单议中除外机制。建立新药耗使用病例监测机制，对使用新药耗未申请除外机制的病例及时与医疗机构同步数据，保障创新药械临床应用通道畅通。积极推动</w:t>
      </w:r>
      <w:r>
        <w:rPr>
          <w:rFonts w:ascii="仿宋_GB2312" w:hAnsi="仿宋_GB2312" w:eastAsia="仿宋_GB2312" w:cs="仿宋_GB2312"/>
          <w:sz w:val="32"/>
          <w:szCs w:val="32"/>
        </w:rPr>
        <w:t>医保基金预付政策和即时结算政策</w:t>
      </w:r>
      <w:r>
        <w:rPr>
          <w:rFonts w:hint="eastAsia" w:ascii="仿宋_GB2312" w:hAnsi="仿宋_GB2312" w:eastAsia="仿宋_GB2312" w:cs="仿宋_GB2312"/>
          <w:sz w:val="32"/>
          <w:szCs w:val="32"/>
        </w:rPr>
        <w:t>实施</w:t>
      </w:r>
      <w:r>
        <w:rPr>
          <w:rFonts w:ascii="仿宋_GB2312" w:hAnsi="仿宋_GB2312" w:eastAsia="仿宋_GB2312" w:cs="仿宋_GB2312"/>
          <w:sz w:val="32"/>
          <w:szCs w:val="32"/>
        </w:rPr>
        <w:t>，全力压缩基金拨付周期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联动市、县两级医保部门，建立结算备用金制度</w:t>
      </w:r>
      <w:r>
        <w:rPr>
          <w:rFonts w:hint="eastAsia" w:ascii="仿宋_GB2312" w:hAnsi="仿宋_GB2312" w:eastAsia="仿宋_GB2312" w:cs="仿宋_GB2312"/>
          <w:sz w:val="32"/>
          <w:szCs w:val="32"/>
        </w:rPr>
        <w:t>，指导医药机构优化数据对账和申报流程，推进业务财务一体化线上拨付，让结算少跑腿、数据多跑路，提升整体结算效率。</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市医保局</w:t>
      </w:r>
      <w:r>
        <w:rPr>
          <w:rFonts w:hint="eastAsia" w:ascii="仿宋_GB2312" w:hAnsi="仿宋_GB2312" w:eastAsia="仿宋_GB2312" w:cs="仿宋_GB2312"/>
          <w:sz w:val="32"/>
          <w:szCs w:val="32"/>
        </w:rPr>
        <w:t>）</w:t>
      </w:r>
    </w:p>
    <w:p w14:paraId="5592BFA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定期组织我市公立医疗机构申报新增医疗服务项目，对经批准同意立项的医疗服务项目，鼓励我市公立医疗机构及时落地实施，推动创新药械在临床的推广应用。支持我市医疗机构制定创新药械快速入院操作指引，明确使用程序。</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市卫生健康委</w:t>
      </w:r>
      <w:r>
        <w:rPr>
          <w:rFonts w:hint="eastAsia" w:ascii="仿宋_GB2312" w:hAnsi="仿宋_GB2312" w:eastAsia="仿宋_GB2312" w:cs="仿宋_GB2312"/>
          <w:sz w:val="32"/>
          <w:szCs w:val="32"/>
        </w:rPr>
        <w:t>）</w:t>
      </w:r>
    </w:p>
    <w:p w14:paraId="0F9A9A34">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完善多层次医疗保障体系建设，鼓励将基本医保尚未覆盖、临床价值和创新程度高的药品纳入全省统一的普惠型商业健康保险（赣惠保）保障范围，加大宣传推广力度，促进创新药保障覆盖更多参保群众。积极构建创新药品多元支付方式，支持普惠型商业健康保险和个人共同负担保障范围内的创新药品。</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市医保局）</w:t>
      </w:r>
    </w:p>
    <w:p w14:paraId="0479E17D">
      <w:pPr>
        <w:adjustRightInd w:val="0"/>
        <w:snapToGrid w:val="0"/>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推动有条件的高水平医院转型为研究型医院，不断提升临床研究水平。鼓励临床试验机构承接境内外高水平药物、医疗器械研究项目。将临床试验项目视同科研课题，项目工作作为临床试验研究人员职务晋升、职称评聘的重要依据。</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市卫生健康委、市人社局</w:t>
      </w:r>
      <w:r>
        <w:rPr>
          <w:rFonts w:hint="eastAsia" w:ascii="仿宋_GB2312" w:hAnsi="仿宋_GB2312" w:eastAsia="仿宋_GB2312" w:cs="仿宋_GB2312"/>
          <w:sz w:val="32"/>
          <w:szCs w:val="32"/>
        </w:rPr>
        <w:t>）</w:t>
      </w:r>
    </w:p>
    <w:p w14:paraId="0439A66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.贯彻落实国家、省卫生健康委关于医学伦理管理、执业许可办理与临床研究落地衔接的政策要求，推动我市医疗卫生机构全配合相关部门开展医学伦理审查工作。</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市卫生健康委</w:t>
      </w:r>
      <w:r>
        <w:rPr>
          <w:rFonts w:hint="eastAsia" w:ascii="仿宋_GB2312" w:hAnsi="仿宋_GB2312" w:eastAsia="仿宋_GB2312" w:cs="仿宋_GB2312"/>
          <w:sz w:val="32"/>
          <w:szCs w:val="32"/>
        </w:rPr>
        <w:t>）</w:t>
      </w:r>
    </w:p>
    <w:p w14:paraId="5A3148F3">
      <w:pPr>
        <w:overflowPunct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三、以更优服务推动产业高质量发展</w:t>
      </w:r>
    </w:p>
    <w:p w14:paraId="42843E5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优先支持医药企业开展临床急需的药品、医疗器械创新研究，助力企业申报产品注册。加强对重点研发的第一类医疗器械产品备案前置指导。进一步简化药品零售企业被其他药品零售连锁企业收购许可流程。加强与省药监局对接，畅通审评审批通道，缩短审评审批时间，争取降低医药企业再注册费用，</w:t>
      </w:r>
      <w:r>
        <w:rPr>
          <w:rFonts w:hint="eastAsia" w:ascii="仿宋" w:hAnsi="仿宋" w:eastAsia="仿宋" w:cs="仿宋"/>
          <w:sz w:val="32"/>
          <w:szCs w:val="32"/>
        </w:rPr>
        <w:t>为药品、医疗器械和化妆品企业注册或备案提供精准高效服务。</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w:t>
      </w:r>
      <w:r>
        <w:rPr>
          <w:rFonts w:hint="eastAsia" w:ascii="仿宋_GB2312" w:hAnsi="仿宋_GB2312" w:eastAsia="仿宋_GB2312" w:cs="仿宋_GB2312"/>
          <w:sz w:val="32"/>
          <w:szCs w:val="32"/>
        </w:rPr>
        <w:t>）</w:t>
      </w:r>
    </w:p>
    <w:p w14:paraId="395DB045">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.支持医药产业集聚区专注创新和特色化发展，深耕细分领域，形成具有比较优势的集群。鼓励和</w:t>
      </w:r>
      <w:r>
        <w:rPr>
          <w:rFonts w:hint="eastAsia" w:ascii="仿宋_GB2312" w:hAnsi="仿宋_GB2312" w:eastAsia="仿宋_GB2312" w:cs="仿宋_GB2312"/>
          <w:sz w:val="32"/>
          <w:szCs w:val="32"/>
        </w:rPr>
        <w:t>指导医药企业通过专业化、市场化资本运作等方式，整合优势资源、兼并收购产业链上下游企业，提升集约化发展水平，提高药品零售企业连锁率。对优化产业链结构的重大并购项目按“一事一议”给予支持。</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市工业和信息化局、市发展改革委、市产投集团，各县区政府、开发区管委会和湾里管理局配合）</w:t>
      </w:r>
    </w:p>
    <w:p w14:paraId="413BAFBE">
      <w:pPr>
        <w:widowControl/>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医药健康产业链</w:t>
      </w:r>
      <w:r>
        <w:rPr>
          <w:rFonts w:hint="eastAsia" w:ascii="仿宋_GB2312" w:hAnsi="仿宋_GB2312" w:eastAsia="仿宋_GB2312" w:cs="仿宋_GB2312"/>
          <w:sz w:val="32"/>
          <w:szCs w:val="32"/>
        </w:rPr>
        <w:t>质量管理公益推广，推动运用创新质量管理理念、质量管理方法和工具，实现产业链规上工业企业首席质量官覆盖率达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，中小企业首席质量官覆盖率达</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以上。引导</w:t>
      </w:r>
      <w:r>
        <w:rPr>
          <w:rFonts w:hint="eastAsia" w:ascii="仿宋_GB2312" w:hAnsi="仿宋_GB2312" w:eastAsia="仿宋_GB2312" w:cs="仿宋_GB2312"/>
          <w:sz w:val="32"/>
          <w:szCs w:val="32"/>
          <w:lang w:eastAsia="zh-CN"/>
        </w:rPr>
        <w:t>医药健康产业链</w:t>
      </w:r>
      <w:r>
        <w:rPr>
          <w:rFonts w:hint="eastAsia" w:ascii="仿宋_GB2312" w:hAnsi="仿宋_GB2312" w:eastAsia="仿宋_GB2312" w:cs="仿宋_GB2312"/>
          <w:sz w:val="32"/>
          <w:szCs w:val="32"/>
        </w:rPr>
        <w:t>链主企业、重点企业向产业链中小微企业开放计量资源，有效降低中小企业运营成本。</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市市场监管局、市工业和信息化局、市中小企业局）</w:t>
      </w:r>
    </w:p>
    <w:p w14:paraId="23E13945">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医药企业开拓国际市场，对企业新通过FDA、CE注册的药品制剂产品或第三类医疗器械产品，给予企业不超过20万元的奖励。鼓励引导企业积极开拓“一带一路”沿线国家市场，对企业新通过“一带一路”沿线国家注册的药品制剂产品或第三类医疗器械产品，给予</w:t>
      </w:r>
      <w:r>
        <w:rPr>
          <w:rFonts w:hint="eastAsia" w:ascii="仿宋_GB2312" w:hAnsi="仿宋_GB2312" w:eastAsia="仿宋_GB2312" w:cs="仿宋_GB2312"/>
          <w:sz w:val="32"/>
          <w:szCs w:val="32"/>
          <w:lang w:val="en-US" w:eastAsia="zh-CN"/>
        </w:rPr>
        <w:t>政策支持</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市工业和信息化局、市商务局）</w:t>
      </w:r>
    </w:p>
    <w:p w14:paraId="4609199C">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.积极争取国家“两新”资金支持，实施设备更新改造项目。支持企业数字化</w:t>
      </w:r>
      <w:r>
        <w:rPr>
          <w:rFonts w:hint="eastAsia" w:ascii="仿宋_GB2312" w:hAnsi="仿宋_GB2312" w:eastAsia="仿宋_GB2312" w:cs="仿宋_GB2312"/>
          <w:sz w:val="32"/>
          <w:szCs w:val="32"/>
        </w:rPr>
        <w:t>转型，鼓励企业应用物联网、大数据、人工智能等新一代信息技术，对产品、制造、服务等环节实行数字化改造，开展数字化诊断，建设一批“数字生产线”“数字车间”“数字工厂”。支持企业技改升级，鼓励企业加大技术改造投入，推广应用新材料、新设备、新工艺，提升制造、安全水平，逐步实现生产过程智能化、控制系统智慧化。</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市工业和信息化局）</w:t>
      </w:r>
    </w:p>
    <w:p w14:paraId="124D2C9C">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发挥上海合作组织传统医学论坛作用，全方位展示南昌中医药的历史底蕴、文化传承，强化中医药和世界各国传统医药之间的学术与文化交流。积极宣传推广中医药产品，鼓励我市中药材、中药饮片、中成药、中医器械等产品走出去。</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市商务局、市卫生健康委、市市场监管局）</w:t>
      </w:r>
    </w:p>
    <w:p w14:paraId="01D98EFC">
      <w:pPr>
        <w:adjustRightInd w:val="0"/>
        <w:snapToGrid w:val="0"/>
        <w:spacing w:line="600" w:lineRule="exact"/>
        <w:ind w:firstLine="640" w:firstLineChars="200"/>
        <w:rPr>
          <w:rFonts w:hint="eastAsia" w:ascii="黑体" w:hAnsi="黑体" w:eastAsia="黑体" w:cs="黑体"/>
          <w:sz w:val="32"/>
          <w:szCs w:val="32"/>
        </w:rPr>
      </w:pPr>
      <w:bookmarkStart w:id="1" w:name="_Toc1552899578"/>
      <w:bookmarkStart w:id="2" w:name="_Toc1433127149"/>
      <w:r>
        <w:rPr>
          <w:rFonts w:hint="eastAsia" w:ascii="黑体" w:hAnsi="黑体" w:eastAsia="黑体" w:cs="黑体"/>
          <w:sz w:val="32"/>
          <w:szCs w:val="32"/>
        </w:rPr>
        <w:t>四、</w:t>
      </w:r>
      <w:bookmarkEnd w:id="1"/>
      <w:bookmarkEnd w:id="2"/>
      <w:r>
        <w:rPr>
          <w:rFonts w:hint="eastAsia" w:ascii="黑体" w:hAnsi="黑体" w:eastAsia="黑体" w:cs="黑体"/>
          <w:sz w:val="32"/>
          <w:szCs w:val="32"/>
        </w:rPr>
        <w:t>强化全生命周期监管</w:t>
      </w:r>
    </w:p>
    <w:p w14:paraId="3BB5803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防范化解风险，构建高水平药品质量安全防线。持续强化重点品种和重点环节监管,全面规范药品经营使用环节秩序,全方位筑牢药品安全底线。严格落实《国家药监局关于进一步做好药品经营监督管理有关工作的公告》对药品零售企业审批有关规定，从严控制药品经营企业审批。聚焦药品经营领域突出问题与薄弱环节，深入开展药品经营环节“清源”巩固提升行动，进一步规范零售药店经营处方药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农村、偏远乡镇为重点，严厉打击药品经营企业及使用单位从非法渠道采购药品、使用过期药品、违规销售处方药等违法违规行为。坚持问题导向,开展针对性监督抽检，提高质量抽查检验的靶向性、覆盖面和针对性。</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市市场监管局、市卫生健康委、市医保局、市公安局</w:t>
      </w:r>
      <w:r>
        <w:rPr>
          <w:rFonts w:hint="eastAsia" w:ascii="楷体_GB2312" w:hAnsi="楷体_GB2312" w:eastAsia="楷体_GB2312" w:cs="楷体_GB2312"/>
          <w:b/>
          <w:bCs/>
          <w:sz w:val="32"/>
          <w:szCs w:val="32"/>
        </w:rPr>
        <w:t>）</w:t>
      </w:r>
    </w:p>
    <w:p w14:paraId="47C5BC98">
      <w:pPr>
        <w:overflowPunct w:val="0"/>
        <w:adjustRightInd w:val="0"/>
        <w:snapToGrid w:val="0"/>
        <w:spacing w:line="600" w:lineRule="exact"/>
        <w:ind w:firstLine="640" w:firstLineChars="200"/>
        <w:rPr>
          <w:rFonts w:hint="eastAsia"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严监管强治理，全力守牢医疗器械质量安全关口。</w:t>
      </w:r>
      <w:r>
        <w:rPr>
          <w:rFonts w:hint="eastAsia" w:ascii="仿宋_GB2312" w:hAnsi="仿宋_GB2312" w:eastAsia="仿宋_GB2312" w:cs="仿宋_GB2312"/>
          <w:color w:val="auto"/>
          <w:sz w:val="32"/>
          <w:szCs w:val="32"/>
        </w:rPr>
        <w:t>按照“风险分级、科学监管，全面覆盖、动态调整，落实责任、提升效能”的原则，开展医疗器械生产经营分级监管工作，夯实各级市场监管部门监管责任。聚焦重点产品、重点环节和重点领域，加大抽验频次与覆盖面，及时消除质量安全风险</w:t>
      </w:r>
      <w:r>
        <w:rPr>
          <w:rFonts w:hint="eastAsia" w:ascii="仿宋_GB2312" w:hAnsi="仿宋_GB2312" w:eastAsia="仿宋_GB2312" w:cs="仿宋_GB2312"/>
          <w:color w:val="auto"/>
          <w:sz w:val="32"/>
          <w:szCs w:val="32"/>
          <w:lang w:eastAsia="zh-CN"/>
        </w:rPr>
        <w:t>。严厉打击</w:t>
      </w:r>
      <w:r>
        <w:rPr>
          <w:rFonts w:hint="eastAsia" w:ascii="仿宋_GB2312" w:hAnsi="仿宋_GB2312" w:eastAsia="仿宋_GB2312" w:cs="仿宋_GB2312"/>
          <w:color w:val="auto"/>
          <w:sz w:val="32"/>
          <w:szCs w:val="32"/>
        </w:rPr>
        <w:t>销售未经注册</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医疗器械、虚假材料骗取许可备案、出租出借证照等违法违规行为。深入推进医疗器械经营领域整治整改行动，依法清理不具备经营条件、不按规定开展经营活动的企业，防范化解区域性风险隐患；严格医疗器械经营许可备案工作，强化各环节核查核验；建立健全长效监管机制，制订医疗器械经营环节监管指南、医疗器械经营许可（备案）受理、现场核查环节审查要点，推动经营企业ERP对接省药监局智慧监管平台</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强化协同共治，加强</w:t>
      </w:r>
      <w:r>
        <w:rPr>
          <w:rFonts w:hint="default" w:ascii="仿宋_GB2312" w:hAnsi="仿宋_GB2312" w:eastAsia="仿宋_GB2312" w:cs="仿宋_GB2312"/>
          <w:color w:val="auto"/>
          <w:sz w:val="32"/>
          <w:szCs w:val="32"/>
        </w:rPr>
        <w:t>市场监管、</w:t>
      </w:r>
      <w:r>
        <w:rPr>
          <w:rFonts w:hint="eastAsia" w:ascii="仿宋_GB2312" w:hAnsi="仿宋_GB2312" w:eastAsia="仿宋_GB2312" w:cs="仿宋_GB2312"/>
          <w:color w:val="auto"/>
          <w:sz w:val="32"/>
          <w:szCs w:val="32"/>
        </w:rPr>
        <w:t>税务、卫健、医保等部门协作配合，探索信息互换与监管协同，提升一体化协同监管效能。</w:t>
      </w:r>
      <w:r>
        <w:rPr>
          <w:rFonts w:hint="eastAsia" w:ascii="楷体_GB2312" w:hAnsi="楷体_GB2312" w:eastAsia="楷体_GB2312" w:cs="楷体_GB2312"/>
          <w:b/>
          <w:bCs/>
          <w:color w:val="auto"/>
          <w:sz w:val="32"/>
          <w:szCs w:val="32"/>
        </w:rPr>
        <w:t>（责任单位：</w:t>
      </w:r>
      <w:r>
        <w:rPr>
          <w:rFonts w:hint="eastAsia" w:ascii="楷体_GB2312" w:hAnsi="楷体_GB2312" w:eastAsia="楷体_GB2312" w:cs="楷体_GB2312"/>
          <w:color w:val="auto"/>
          <w:sz w:val="32"/>
          <w:szCs w:val="32"/>
        </w:rPr>
        <w:t>市市场监管局、市税务局、市卫生健康委、市医保局</w:t>
      </w:r>
      <w:r>
        <w:rPr>
          <w:rFonts w:hint="eastAsia" w:ascii="楷体_GB2312" w:hAnsi="楷体_GB2312" w:eastAsia="楷体_GB2312" w:cs="楷体_GB2312"/>
          <w:b/>
          <w:bCs/>
          <w:color w:val="auto"/>
          <w:sz w:val="32"/>
          <w:szCs w:val="32"/>
        </w:rPr>
        <w:t>）</w:t>
      </w:r>
    </w:p>
    <w:p w14:paraId="2357C533">
      <w:pPr>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按照经营业态、经营种类、经营规模等风险状况对化妆品经营者实施差异化监管。以化妆品集中交易市场、美容美发机构、网络经营为重点领域，儿童化妆品、特殊化妆品以及宣称祛皱、祛痘等功效的化妆品为重点产品，加大监督检查和抽样检验力度。强化行刑衔接、行纪衔接，落实行业禁业、处罚到人要求，严厉打击涉及儿童化妆品、非法添加、无证生产、自行配制以及生产经营未经注册或备案的化妆品等违法行为。</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b/>
          <w:bCs/>
          <w:color w:val="auto"/>
          <w:sz w:val="32"/>
          <w:szCs w:val="32"/>
        </w:rPr>
        <w:t>责任单位：</w:t>
      </w:r>
      <w:r>
        <w:rPr>
          <w:rFonts w:hint="eastAsia" w:ascii="楷体_GB2312" w:hAnsi="楷体_GB2312" w:eastAsia="楷体_GB2312" w:cs="楷体_GB2312"/>
          <w:color w:val="auto"/>
          <w:sz w:val="32"/>
          <w:szCs w:val="32"/>
        </w:rPr>
        <w:t>市市场监管局）</w:t>
      </w:r>
    </w:p>
    <w:p w14:paraId="4084ADF6">
      <w:pPr>
        <w:adjustRightInd w:val="0"/>
        <w:snapToGrid w:val="0"/>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加强市、县两级药品化妆品不良反应（医疗器械不良事件）监测体系建设，配备与监测职能相适应的专业人员。贯彻落实药物警戒质量管理规范，协助指导药品上市许可持有人（医疗器械化妆品注册人、备案人）建立健全监测评价体系，增强公众对药品、化妆品不良反应（医疗器械不良事件）的认知和报告意识</w:t>
      </w:r>
      <w:r>
        <w:rPr>
          <w:rFonts w:hint="eastAsia" w:ascii="仿宋_GB2312" w:hAnsi="仿宋_GB2312" w:eastAsia="仿宋_GB2312" w:cs="仿宋_GB2312"/>
          <w:sz w:val="32"/>
          <w:szCs w:val="32"/>
          <w:u w:val="none"/>
        </w:rPr>
        <w:t>。加强创新药械上市后主动监测，持续开展上市后研究。坚持科学评价，加强风险信号挖掘，提升分析评价能力。持续推进监测哨点建设，将药物警戒工作纳入医疗机构药事管理工作内容。大力提升</w:t>
      </w:r>
      <w:r>
        <w:rPr>
          <w:rFonts w:hint="eastAsia" w:ascii="仿宋_GB2312" w:hAnsi="仿宋_GB2312" w:eastAsia="仿宋_GB2312" w:cs="仿宋_GB2312"/>
          <w:sz w:val="32"/>
          <w:szCs w:val="32"/>
        </w:rPr>
        <w:t>市级药品检验机构检验检测能力，加大高端检测仪器设备更新力度，扩充检测资质项目。</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市市场监管局、市卫生健康委）</w:t>
      </w:r>
    </w:p>
    <w:p w14:paraId="09801A7C">
      <w:pPr>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加强监管信息化建设</w:t>
      </w:r>
      <w:r>
        <w:rPr>
          <w:rFonts w:hint="eastAsia" w:ascii="仿宋" w:hAnsi="仿宋" w:eastAsia="仿宋" w:cs="仿宋"/>
          <w:color w:val="auto"/>
          <w:sz w:val="32"/>
          <w:szCs w:val="32"/>
          <w:lang w:eastAsia="zh-CN"/>
        </w:rPr>
        <w:t>，提高监督检查效率。</w:t>
      </w:r>
      <w:r>
        <w:rPr>
          <w:rFonts w:hint="eastAsia" w:ascii="仿宋_GB2312" w:hAnsi="仿宋_GB2312" w:eastAsia="仿宋_GB2312" w:cs="仿宋_GB2312"/>
          <w:color w:val="auto"/>
          <w:sz w:val="32"/>
          <w:szCs w:val="32"/>
        </w:rPr>
        <w:t>积极推进药品追溯体系建设，进一步推动医保药品追溯码信息采集应用，实现全过程可追溯。健全高值医用耗材唯一标识（UDI）追溯体系应用，分步推进高值医用耗材唯一标识全面赋码和应用，推动实现高值医用耗材可追溯监管。稳步推动</w:t>
      </w:r>
      <w:r>
        <w:rPr>
          <w:rFonts w:hint="eastAsia" w:ascii="仿宋_GB2312" w:hAnsi="仿宋_GB2312" w:eastAsia="仿宋_GB2312" w:cs="仿宋_GB2312"/>
          <w:color w:val="auto"/>
          <w:sz w:val="32"/>
          <w:szCs w:val="32"/>
          <w:lang w:val="en-US" w:eastAsia="zh-CN"/>
        </w:rPr>
        <w:t>药品零售、第一类</w:t>
      </w:r>
      <w:r>
        <w:rPr>
          <w:rFonts w:hint="eastAsia" w:ascii="仿宋_GB2312" w:hAnsi="仿宋_GB2312" w:eastAsia="仿宋_GB2312" w:cs="仿宋_GB2312"/>
          <w:color w:val="auto"/>
          <w:sz w:val="32"/>
          <w:szCs w:val="32"/>
        </w:rPr>
        <w:t>医疗器械生产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医疗器械</w:t>
      </w:r>
      <w:r>
        <w:rPr>
          <w:rFonts w:hint="eastAsia" w:ascii="仿宋_GB2312" w:hAnsi="仿宋_GB2312" w:eastAsia="仿宋_GB2312" w:cs="仿宋_GB2312"/>
          <w:color w:val="auto"/>
          <w:sz w:val="32"/>
          <w:szCs w:val="32"/>
        </w:rPr>
        <w:t>经营环节“互联网+AI监管”，探索利用可视化联网与AI智能识别功能开展智能检查。</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b/>
          <w:bCs/>
          <w:color w:val="auto"/>
          <w:sz w:val="32"/>
          <w:szCs w:val="32"/>
        </w:rPr>
        <w:t>责任单位：</w:t>
      </w:r>
      <w:r>
        <w:rPr>
          <w:rFonts w:hint="eastAsia" w:ascii="楷体_GB2312" w:hAnsi="楷体_GB2312" w:eastAsia="楷体_GB2312" w:cs="楷体_GB2312"/>
          <w:color w:val="auto"/>
          <w:sz w:val="32"/>
          <w:szCs w:val="32"/>
        </w:rPr>
        <w:t>市市场监管局、市卫生健康委、</w:t>
      </w:r>
      <w:r>
        <w:rPr>
          <w:rFonts w:hint="eastAsia" w:ascii="楷体_GB2312" w:hAnsi="楷体_GB2312" w:eastAsia="楷体_GB2312" w:cs="楷体_GB2312"/>
          <w:sz w:val="32"/>
          <w:szCs w:val="32"/>
          <w:lang w:eastAsia="zh-CN"/>
        </w:rPr>
        <w:t>市税务局、</w:t>
      </w:r>
      <w:r>
        <w:rPr>
          <w:rFonts w:hint="eastAsia" w:ascii="楷体_GB2312" w:hAnsi="楷体_GB2312" w:eastAsia="楷体_GB2312" w:cs="楷体_GB2312"/>
          <w:color w:val="auto"/>
          <w:sz w:val="32"/>
          <w:szCs w:val="32"/>
        </w:rPr>
        <w:t>市医保局）</w:t>
      </w:r>
    </w:p>
    <w:p w14:paraId="10E1747D">
      <w:pPr>
        <w:adjustRightInd w:val="0"/>
        <w:snapToGrid w:val="0"/>
        <w:spacing w:line="600" w:lineRule="exact"/>
        <w:ind w:firstLine="640"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color w:val="auto"/>
          <w:sz w:val="32"/>
          <w:szCs w:val="32"/>
          <w:lang w:val="en-US" w:eastAsia="zh-CN"/>
        </w:rPr>
        <w:t>30.强化协同共治，提升监管效能。</w:t>
      </w:r>
      <w:r>
        <w:rPr>
          <w:rFonts w:hint="eastAsia" w:ascii="仿宋_GB2312" w:hAnsi="仿宋_GB2312" w:eastAsia="仿宋_GB2312" w:cs="仿宋_GB2312"/>
          <w:color w:val="auto"/>
          <w:sz w:val="32"/>
          <w:szCs w:val="32"/>
        </w:rPr>
        <w:t>充分发挥市食品药品安全委员会统筹协调作用，完善药品安全跨部门协作机制。深化网络监管协作机制，加强网络经营线索处置。加强线上监测与线下核查联动，严厉打击虚假宣传误导消费者的违法行为。加强</w:t>
      </w:r>
      <w:r>
        <w:rPr>
          <w:rFonts w:hint="eastAsia" w:ascii="仿宋_GB2312" w:hAnsi="仿宋_GB2312" w:eastAsia="仿宋_GB2312" w:cs="仿宋_GB2312"/>
          <w:color w:val="auto"/>
          <w:sz w:val="32"/>
          <w:szCs w:val="32"/>
          <w:lang w:val="en-US" w:eastAsia="zh-CN"/>
        </w:rPr>
        <w:t>与卫健、医保、公安等部门之间的</w:t>
      </w:r>
      <w:r>
        <w:rPr>
          <w:rFonts w:hint="eastAsia" w:ascii="仿宋_GB2312" w:hAnsi="仿宋_GB2312" w:eastAsia="仿宋_GB2312" w:cs="仿宋_GB2312"/>
          <w:color w:val="auto"/>
          <w:sz w:val="32"/>
          <w:szCs w:val="32"/>
        </w:rPr>
        <w:t>药品安全形势分析和风险会商，建立健全行刑衔接机制和重大违法案件查办机制，严厉打击药品、医疗器械、化妆品违法犯罪行为，对发现的相关问题及时通报、移送。推动信息互通、数据共享，引导医药行业组织发挥自律作用，形成药品安全治理合力。</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责任单位：</w:t>
      </w:r>
      <w:r>
        <w:rPr>
          <w:rFonts w:hint="eastAsia" w:ascii="楷体_GB2312" w:hAnsi="楷体_GB2312" w:eastAsia="楷体_GB2312" w:cs="楷体_GB2312"/>
          <w:sz w:val="32"/>
          <w:szCs w:val="32"/>
        </w:rPr>
        <w:t>市市场监管局、市卫生健康委、市医保局、市公安局）</w:t>
      </w:r>
    </w:p>
    <w:p w14:paraId="1A5B5BB2">
      <w:pPr>
        <w:rPr>
          <w:rFonts w:ascii="微软雅黑" w:hAnsi="微软雅黑" w:eastAsia="微软雅黑" w:cs="微软雅黑"/>
          <w:i w:val="0"/>
          <w:iCs w:val="0"/>
          <w:caps w:val="0"/>
          <w:color w:val="333333"/>
          <w:spacing w:val="0"/>
          <w:sz w:val="42"/>
          <w:szCs w:val="42"/>
          <w:shd w:val="clear" w:fill="FFFFFF"/>
        </w:rPr>
      </w:pPr>
    </w:p>
    <w:sectPr>
      <w:footerReference r:id="rId3" w:type="default"/>
      <w:pgSz w:w="11906" w:h="16838"/>
      <w:pgMar w:top="1701"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国标仿宋-GB/T 2312">
    <w:altName w:val="仿宋"/>
    <w:panose1 w:val="00000000000000000000"/>
    <w:charset w:val="86"/>
    <w:family w:val="auto"/>
    <w:pitch w:val="default"/>
    <w:sig w:usb0="00000000" w:usb1="00000000" w:usb2="00000010" w:usb3="00000000" w:csb0="00040000" w:csb1="00000000"/>
  </w:font>
  <w:font w:name="国标黑体-GB/T 2312">
    <w:altName w:val="黑体"/>
    <w:panose1 w:val="00000000000000000000"/>
    <w:charset w:val="86"/>
    <w:family w:val="auto"/>
    <w:pitch w:val="default"/>
    <w:sig w:usb0="00000000" w:usb1="0000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DD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10774">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E10774">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F13E6"/>
    <w:rsid w:val="00E73557"/>
    <w:rsid w:val="073E58E3"/>
    <w:rsid w:val="0B7860BC"/>
    <w:rsid w:val="13F75F72"/>
    <w:rsid w:val="166B79B8"/>
    <w:rsid w:val="19840737"/>
    <w:rsid w:val="1A366198"/>
    <w:rsid w:val="1DE303E5"/>
    <w:rsid w:val="230A3935"/>
    <w:rsid w:val="25563F7B"/>
    <w:rsid w:val="29C42F93"/>
    <w:rsid w:val="2AF552B4"/>
    <w:rsid w:val="44C71617"/>
    <w:rsid w:val="5334431C"/>
    <w:rsid w:val="596D2336"/>
    <w:rsid w:val="5BAC183B"/>
    <w:rsid w:val="5E9071F2"/>
    <w:rsid w:val="65E322FD"/>
    <w:rsid w:val="6E470F4F"/>
    <w:rsid w:val="76EF13E6"/>
    <w:rsid w:val="76F0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eastAsia="仿宋"/>
      <w:sz w:val="32"/>
      <w:szCs w:val="32"/>
    </w:rPr>
  </w:style>
  <w:style w:type="paragraph" w:styleId="3">
    <w:name w:val="Body Text Indent"/>
    <w:basedOn w:val="1"/>
    <w:semiHidden/>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next w:val="1"/>
    <w:qFormat/>
    <w:uiPriority w:val="99"/>
    <w:pPr>
      <w:ind w:firstLine="420" w:firstLineChars="100"/>
    </w:pPr>
  </w:style>
  <w:style w:type="paragraph" w:styleId="8">
    <w:name w:val="Body Text First Indent 2"/>
    <w:basedOn w:val="3"/>
    <w:next w:val="7"/>
    <w:qFormat/>
    <w:uiPriority w:val="0"/>
    <w:pPr>
      <w:ind w:firstLine="210"/>
    </w:pPr>
  </w:style>
  <w:style w:type="character" w:styleId="11">
    <w:name w:val="Hyperlink"/>
    <w:basedOn w:val="10"/>
    <w:qFormat/>
    <w:uiPriority w:val="0"/>
    <w:rPr>
      <w:color w:val="0000FF"/>
      <w:u w:val="single"/>
    </w:rPr>
  </w:style>
  <w:style w:type="paragraph" w:customStyle="1" w:styleId="1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3">
    <w:name w:val="BodyText"/>
    <w:basedOn w:val="1"/>
    <w:qFormat/>
    <w:uiPriority w:val="0"/>
    <w:rPr>
      <w:rFonts w:ascii="Calibri" w:hAnsi="Calibri" w:eastAsia="宋体"/>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6135</Words>
  <Characters>6281</Characters>
  <Lines>0</Lines>
  <Paragraphs>0</Paragraphs>
  <TotalTime>532</TotalTime>
  <ScaleCrop>false</ScaleCrop>
  <LinksUpToDate>false</LinksUpToDate>
  <CharactersWithSpaces>6314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2026-03-02T03:21:00Z</dcterms:created>
  <dc:creator>Guanping</dc:creator>
  <cp:lastModifiedBy>_一一啊懿</cp:lastModifiedBy>
  <cp:lastPrinted>2026-04-13T03:07:00Z</cp:lastPrinted>
  <dcterms:modified xsi:type="dcterms:W3CDTF">2026-04-15T06:34:59Z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ABB1F0857C1043EC846D97DF707CFBA3_13</vt:lpwstr>
  </property>
  <property fmtid="{D5CDD505-2E9C-101B-9397-08002B2CF9AE}" pid="4" name="KSOTemplateDocerSaveRecord">
    <vt:lpwstr>eyJoZGlkIjoiNWU5YWZkZGM4OTljNjVkOTJhNjQ3ZjM3ZGRmNjg3YjMiLCJ1c2VySWQiOiIyNDQ0OTUwMjEifQ==</vt:lpwstr>
  </property>
</Properties>
</file>