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44"/>
          <w:szCs w:val="44"/>
          <w:lang w:val="en-US" w:eastAsia="zh-CN"/>
        </w:rPr>
      </w:pPr>
      <w:bookmarkStart w:id="13" w:name="_GoBack"/>
      <w:r>
        <w:rPr>
          <w:rFonts w:hint="eastAsia" w:ascii="方正小标宋简体" w:hAnsi="方正小标宋简体" w:eastAsia="方正小标宋简体" w:cs="方正小标宋简体"/>
          <w:sz w:val="44"/>
          <w:szCs w:val="44"/>
          <w:lang w:eastAsia="zh-CN"/>
        </w:rPr>
        <w:t>甘肃省药品监督管理局</w:t>
      </w:r>
      <w:r>
        <w:rPr>
          <w:rFonts w:hint="eastAsia" w:ascii="方正小标宋简体" w:hAnsi="方正小标宋简体" w:eastAsia="方正小标宋简体" w:cs="方正小标宋简体"/>
          <w:sz w:val="44"/>
          <w:szCs w:val="44"/>
          <w:lang w:val="en-US" w:eastAsia="zh-CN"/>
        </w:rPr>
        <w:t>2026年度日常监督检查计划表</w:t>
      </w:r>
      <w:bookmarkEnd w:id="13"/>
    </w:p>
    <w:tbl>
      <w:tblPr>
        <w:tblStyle w:val="19"/>
        <w:tblW w:w="15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66"/>
        <w:gridCol w:w="542"/>
        <w:gridCol w:w="716"/>
        <w:gridCol w:w="917"/>
        <w:gridCol w:w="3538"/>
        <w:gridCol w:w="754"/>
        <w:gridCol w:w="2809"/>
        <w:gridCol w:w="922"/>
        <w:gridCol w:w="1056"/>
        <w:gridCol w:w="508"/>
        <w:gridCol w:w="776"/>
        <w:gridCol w:w="411"/>
        <w:gridCol w:w="887"/>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jc w:val="center"/>
        </w:trPr>
        <w:tc>
          <w:tcPr>
            <w:tcW w:w="500"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序号</w:t>
            </w:r>
          </w:p>
        </w:tc>
        <w:tc>
          <w:tcPr>
            <w:tcW w:w="866"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检查计划名称</w:t>
            </w:r>
          </w:p>
        </w:tc>
        <w:tc>
          <w:tcPr>
            <w:tcW w:w="542"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检查主体</w:t>
            </w:r>
          </w:p>
        </w:tc>
        <w:tc>
          <w:tcPr>
            <w:tcW w:w="716"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检查</w:t>
            </w:r>
          </w:p>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对象</w:t>
            </w:r>
          </w:p>
        </w:tc>
        <w:tc>
          <w:tcPr>
            <w:tcW w:w="917"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检查事项</w:t>
            </w:r>
          </w:p>
        </w:tc>
        <w:tc>
          <w:tcPr>
            <w:tcW w:w="3538"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检查依据</w:t>
            </w:r>
          </w:p>
        </w:tc>
        <w:tc>
          <w:tcPr>
            <w:tcW w:w="754"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检查</w:t>
            </w:r>
          </w:p>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时间</w:t>
            </w:r>
          </w:p>
        </w:tc>
        <w:tc>
          <w:tcPr>
            <w:tcW w:w="2809"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检查内容</w:t>
            </w:r>
          </w:p>
        </w:tc>
        <w:tc>
          <w:tcPr>
            <w:tcW w:w="922"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检查方式（现场检查/非现场检查）</w:t>
            </w:r>
          </w:p>
        </w:tc>
        <w:tc>
          <w:tcPr>
            <w:tcW w:w="1056"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检查频次</w:t>
            </w:r>
          </w:p>
        </w:tc>
        <w:tc>
          <w:tcPr>
            <w:tcW w:w="508"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实施层级</w:t>
            </w:r>
          </w:p>
        </w:tc>
        <w:tc>
          <w:tcPr>
            <w:tcW w:w="1187" w:type="dxa"/>
            <w:gridSpan w:val="2"/>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是否属于上级部署的行政检查活动</w:t>
            </w:r>
          </w:p>
        </w:tc>
        <w:tc>
          <w:tcPr>
            <w:tcW w:w="887"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是否属于“双随机、一公开”抽查方式的检查事项</w:t>
            </w:r>
          </w:p>
        </w:tc>
        <w:tc>
          <w:tcPr>
            <w:tcW w:w="658" w:type="dxa"/>
            <w:vMerge w:val="restart"/>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jc w:val="center"/>
        </w:trPr>
        <w:tc>
          <w:tcPr>
            <w:tcW w:w="500" w:type="dxa"/>
            <w:vMerge w:val="continue"/>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p>
        </w:tc>
        <w:tc>
          <w:tcPr>
            <w:tcW w:w="866"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c>
          <w:tcPr>
            <w:tcW w:w="542"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c>
          <w:tcPr>
            <w:tcW w:w="716"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c>
          <w:tcPr>
            <w:tcW w:w="917"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c>
          <w:tcPr>
            <w:tcW w:w="3538"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c>
          <w:tcPr>
            <w:tcW w:w="754"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c>
          <w:tcPr>
            <w:tcW w:w="2809"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c>
          <w:tcPr>
            <w:tcW w:w="922"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c>
          <w:tcPr>
            <w:tcW w:w="1056"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c>
          <w:tcPr>
            <w:tcW w:w="508"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c>
          <w:tcPr>
            <w:tcW w:w="776"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是（上级单位部署）</w:t>
            </w:r>
          </w:p>
        </w:tc>
        <w:tc>
          <w:tcPr>
            <w:tcW w:w="411"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否</w:t>
            </w:r>
          </w:p>
        </w:tc>
        <w:tc>
          <w:tcPr>
            <w:tcW w:w="887"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c>
          <w:tcPr>
            <w:tcW w:w="658" w:type="dxa"/>
            <w:vMerge w:val="continue"/>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500"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86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t>对疫苗、血液制品等生物制品监督检查</w:t>
            </w:r>
          </w:p>
        </w:tc>
        <w:tc>
          <w:tcPr>
            <w:tcW w:w="54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疫苗、血液制品等生物制品生产企业</w:t>
            </w:r>
          </w:p>
        </w:tc>
        <w:tc>
          <w:tcPr>
            <w:tcW w:w="91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对疫苗、血液制品、放射性药品、医疗用毒性药品、无菌药品等高风险药品生产企业开展药品生产质量管理规范符合性检查</w:t>
            </w:r>
          </w:p>
        </w:tc>
        <w:tc>
          <w:tcPr>
            <w:tcW w:w="3538"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《药品生产监督管理办法》第五十五条第一款第（一）项 省、自治区、直辖市药品监督管理部门应当根据药品品种、剂型、管制类别等特点，结合国家药品安全总体情况、药品安全风险警示信息、重大药品安全事件及其调查处理信息等，以及既往检查、检验、不良反应监测、投诉举报等情况确定检查频次：（一）对麻醉药品、第一类精神药品、药品类易制毒化学品生产企业每季度检查不少于一次。第二款 省、自治区、直辖市药品监督管理部门可以结合本行政区域内药品生产监管工作实际情况，调整检查频次。</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p>
        </w:tc>
        <w:tc>
          <w:tcPr>
            <w:tcW w:w="754"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1-10月</w:t>
            </w:r>
          </w:p>
        </w:tc>
        <w:tc>
          <w:tcPr>
            <w:tcW w:w="2809"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1.严格落实疫苗生产企业派驻检查，重点检查企业生产工艺变更、重大偏差管理以及数据的真实性、完整性和可追溯性、新建厂房和新增车间GMP符合性等内容；</w:t>
            </w:r>
            <w:r>
              <w:rPr>
                <w:rFonts w:hint="eastAsia" w:ascii="仿宋" w:hAnsi="仿宋" w:eastAsia="仿宋" w:cs="仿宋"/>
                <w:sz w:val="21"/>
                <w:szCs w:val="21"/>
                <w:lang w:val="en-US" w:eastAsia="zh-CN"/>
              </w:rPr>
              <w:br/>
            </w:r>
            <w:r>
              <w:rPr>
                <w:rFonts w:hint="eastAsia" w:ascii="仿宋" w:hAnsi="仿宋" w:eastAsia="仿宋" w:cs="仿宋"/>
                <w:sz w:val="21"/>
                <w:szCs w:val="21"/>
                <w:lang w:val="en-US" w:eastAsia="zh-CN"/>
              </w:rPr>
              <w:t>2.针对血液制品、A型肉毒毒素等生物制品生产企业，重点检查单采血浆站供应商资质审核情况、原料血浆入场检验、关键工序过程控制、药品生产数据可靠性、全过程追溯等情况；</w:t>
            </w:r>
            <w:r>
              <w:rPr>
                <w:rFonts w:hint="eastAsia" w:ascii="仿宋" w:hAnsi="仿宋" w:eastAsia="仿宋" w:cs="仿宋"/>
                <w:sz w:val="21"/>
                <w:szCs w:val="21"/>
                <w:lang w:val="en-US" w:eastAsia="zh-CN"/>
              </w:rPr>
              <w:br/>
            </w:r>
            <w:r>
              <w:rPr>
                <w:rFonts w:hint="eastAsia" w:ascii="仿宋" w:hAnsi="仿宋" w:eastAsia="仿宋" w:cs="仿宋"/>
                <w:sz w:val="21"/>
                <w:szCs w:val="21"/>
                <w:lang w:val="en-US" w:eastAsia="zh-CN"/>
              </w:rPr>
              <w:t>3.每季度分析产生问题的原因和整改落实情况，汇总后报省局，重大问题及时上报；</w:t>
            </w:r>
            <w:r>
              <w:rPr>
                <w:rFonts w:hint="eastAsia" w:ascii="仿宋" w:hAnsi="仿宋" w:eastAsia="仿宋" w:cs="仿宋"/>
                <w:sz w:val="21"/>
                <w:szCs w:val="21"/>
                <w:lang w:val="en-US" w:eastAsia="zh-CN"/>
              </w:rPr>
              <w:br/>
            </w:r>
            <w:r>
              <w:rPr>
                <w:rFonts w:hint="eastAsia" w:ascii="仿宋" w:hAnsi="仿宋" w:eastAsia="仿宋" w:cs="仿宋"/>
                <w:sz w:val="21"/>
                <w:szCs w:val="21"/>
                <w:lang w:val="en-US" w:eastAsia="zh-CN"/>
              </w:rPr>
              <w:t>4.配合国家药监局完成疫苗、血液制品巡查检查工作。</w:t>
            </w:r>
          </w:p>
        </w:tc>
        <w:tc>
          <w:tcPr>
            <w:tcW w:w="922"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_GB2312" w:hAnsi="仿宋_GB2312" w:eastAsia="仿宋_GB2312" w:cs="仿宋_GB2312"/>
                <w:i w:val="0"/>
                <w:caps w:val="0"/>
                <w:color w:val="333333"/>
                <w:spacing w:val="0"/>
                <w:kern w:val="0"/>
                <w:sz w:val="21"/>
                <w:szCs w:val="21"/>
                <w:shd w:val="clear" w:color="auto" w:fill="FFFFFF"/>
                <w:lang w:val="en-US" w:eastAsia="zh-CN"/>
              </w:rPr>
            </w:pPr>
            <w:r>
              <w:rPr>
                <w:rFonts w:hint="eastAsia" w:ascii="仿宋" w:hAnsi="仿宋" w:eastAsia="仿宋" w:cs="仿宋"/>
                <w:sz w:val="21"/>
                <w:szCs w:val="21"/>
                <w:lang w:val="en-US" w:eastAsia="zh-CN"/>
              </w:rPr>
              <w:t>疫苗、血液制品和A型肉毒毒素等生物制品生产企业每年不少于1次的GMP符合性检查。</w:t>
            </w:r>
          </w:p>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p>
        </w:tc>
        <w:tc>
          <w:tcPr>
            <w:tcW w:w="508"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3" w:hRule="atLeast"/>
          <w:jc w:val="center"/>
        </w:trPr>
        <w:tc>
          <w:tcPr>
            <w:tcW w:w="500"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6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t>对特殊管理药品生产企业监督检查</w:t>
            </w:r>
          </w:p>
        </w:tc>
        <w:tc>
          <w:tcPr>
            <w:tcW w:w="54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特殊管理药品生产企业</w:t>
            </w:r>
          </w:p>
        </w:tc>
        <w:tc>
          <w:tcPr>
            <w:tcW w:w="91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对麻醉药品和第一类精神药品、药品类易制毒化学品生产企业和麻醉药品药用原植物种植企业监督检查</w:t>
            </w:r>
          </w:p>
        </w:tc>
        <w:tc>
          <w:tcPr>
            <w:tcW w:w="3538"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《麻醉药品和精神药品管理条例》第五十七条药品监督管理部门应当根据规定的职责权限，对麻醉药品药用原植物的种植以及麻醉药品和精神药品的实验研究、生产、经营、使用、储存、运输活动进行监督检查。</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《药品生产监督管理办法》第五十五条第一款第（一）项 省、自治区、直辖市药品监督管理部门应当根据药品品种、剂型、管制类别等特点，结合国家药品安全总体情况、药品安全风险警示信息、重大药品安全事件及其调查处理信息等，以及既往检查、检验、不良反应监测、投诉举报等情况确定检查频次：（一）对麻醉药品、第一类精神药品、药品类易制毒化学品生产企业每季度检查不少于一次。第二款 省、自治区、直辖市药品监督管理部门可以结合本行政区域内药品生产监管工作实际情况，调整检查频次。</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《药品类易制毒化学品管理办法》第四条 国家食品药品监督管理局主管全国药品类易制毒化学品生产、经营、购买等方面的监督管理工作。</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《罂粟壳管理暂行规定》第三条 国家药品监督管理局负责对全国罂粟壳的生产、经营和使用以及含罂粟壳中成药的研制工作进行监督管理。 各省、市、直辖市药品监督管理部门负责本辖区内罂粟壳的监督管理工作。</w:t>
            </w:r>
          </w:p>
        </w:tc>
        <w:tc>
          <w:tcPr>
            <w:tcW w:w="754"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2-10月</w:t>
            </w:r>
          </w:p>
        </w:tc>
        <w:tc>
          <w:tcPr>
            <w:tcW w:w="2809"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重点检查特殊管理药品原料购进渠道是否合法；储存条件是否符合相关法规要求；安全保障措施是否到位；管理制度是否建立并执行；相关人员是否定期按要求培训；有关记录、档案是否齐全并按要求保管；原料和成品物料是否平衡；</w:t>
            </w:r>
            <w:r>
              <w:rPr>
                <w:rFonts w:hint="eastAsia" w:ascii="仿宋" w:hAnsi="仿宋" w:eastAsia="仿宋" w:cs="仿宋"/>
                <w:sz w:val="21"/>
                <w:szCs w:val="21"/>
                <w:lang w:val="en-US" w:eastAsia="zh-CN"/>
              </w:rPr>
              <w:br/>
            </w:r>
            <w:r>
              <w:rPr>
                <w:rFonts w:hint="eastAsia" w:ascii="仿宋" w:hAnsi="仿宋" w:eastAsia="仿宋" w:cs="仿宋"/>
                <w:sz w:val="21"/>
                <w:szCs w:val="21"/>
                <w:lang w:val="en-US" w:eastAsia="zh-CN"/>
              </w:rPr>
              <w:t>2.落实属地监管责任，每年开展对罂粟种植基地不少于1次的监督检查，确保国家下达的计划有效落实；</w:t>
            </w:r>
            <w:r>
              <w:rPr>
                <w:rFonts w:hint="eastAsia" w:ascii="仿宋" w:hAnsi="仿宋" w:eastAsia="仿宋" w:cs="仿宋"/>
                <w:sz w:val="21"/>
                <w:szCs w:val="21"/>
                <w:lang w:val="en-US" w:eastAsia="zh-CN"/>
              </w:rPr>
              <w:br/>
            </w:r>
            <w:r>
              <w:rPr>
                <w:rFonts w:hint="eastAsia" w:ascii="仿宋" w:hAnsi="仿宋" w:eastAsia="仿宋" w:cs="仿宋"/>
                <w:sz w:val="21"/>
                <w:szCs w:val="21"/>
                <w:lang w:val="en-US" w:eastAsia="zh-CN"/>
              </w:rPr>
              <w:t>3.现场检查发现的问题由各执法检查局负责监督企业整改到位，完成核查后上报省局。</w:t>
            </w:r>
          </w:p>
        </w:tc>
        <w:tc>
          <w:tcPr>
            <w:tcW w:w="922"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1.特殊药品生产企业每季度开展1次监督检查，每年开展不少于1次的GMP符合性检查；</w:t>
            </w:r>
            <w:r>
              <w:rPr>
                <w:rFonts w:hint="eastAsia" w:ascii="仿宋" w:hAnsi="仿宋" w:eastAsia="仿宋" w:cs="仿宋"/>
                <w:sz w:val="21"/>
                <w:szCs w:val="21"/>
                <w:lang w:val="en-US" w:eastAsia="zh-CN"/>
              </w:rPr>
              <w:br/>
            </w:r>
            <w:r>
              <w:rPr>
                <w:rFonts w:hint="eastAsia" w:ascii="仿宋" w:hAnsi="仿宋" w:eastAsia="仿宋" w:cs="仿宋"/>
                <w:sz w:val="21"/>
                <w:szCs w:val="21"/>
                <w:lang w:val="en-US" w:eastAsia="zh-CN"/>
              </w:rPr>
              <w:t>2.对含兴奋剂目录所列物质药品生产企业监督检查每年不少于1次。</w:t>
            </w:r>
          </w:p>
        </w:tc>
        <w:tc>
          <w:tcPr>
            <w:tcW w:w="508"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1" w:hRule="atLeast"/>
          <w:jc w:val="center"/>
        </w:trPr>
        <w:tc>
          <w:tcPr>
            <w:tcW w:w="500"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6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t>对药品生产企业GMP符合性检查</w:t>
            </w:r>
          </w:p>
        </w:tc>
        <w:tc>
          <w:tcPr>
            <w:tcW w:w="54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pacing w:val="-20"/>
                <w:sz w:val="21"/>
                <w:szCs w:val="21"/>
                <w:lang w:val="en-US" w:eastAsia="zh-CN"/>
              </w:rPr>
              <w:t>药品生产企业</w:t>
            </w:r>
          </w:p>
        </w:tc>
        <w:tc>
          <w:tcPr>
            <w:tcW w:w="91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pacing w:val="-20"/>
                <w:sz w:val="21"/>
                <w:szCs w:val="21"/>
                <w:lang w:val="en-US" w:eastAsia="zh-CN"/>
              </w:rPr>
              <w:t>对全省药品上市许可持有人、药品生产企业开展监督检查</w:t>
            </w:r>
          </w:p>
        </w:tc>
        <w:tc>
          <w:tcPr>
            <w:tcW w:w="3538"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生产监督管理办法》第五十五条第一款第（二）项省、自治区、直辖市药品监督管理部门应当根据药品品种、剂型、管制类别等特点，结合国家药品安全总体情况、药品安全风险警示信息、重大药品安全事件及其调查处理信息等，以及既往检查、检验、不良反应监测、投诉举报等情况确定检查频次：（二）对疫苗、血液制品、放射性药品、医疗用毒性药品、无菌药品等高风险药品生产企业，每年不少于一次药品生产质量管理规范符合性检查；</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《药品检查管理办法(试行)》第四十一条第二款第（三）项  对麻醉药品、精神药品、药品类易制毒化学品、放射性药品和医疗用毒性药品生产经营企业，还应当对企业保障药品管理安全、防止流入非法渠道等有关规定的执行情况进行检查：(三）放射性药品、医疗用毒性药品生产经营企业每年检查不少于一次。</w:t>
            </w:r>
          </w:p>
        </w:tc>
        <w:tc>
          <w:tcPr>
            <w:tcW w:w="754"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2-10月</w:t>
            </w:r>
          </w:p>
        </w:tc>
        <w:tc>
          <w:tcPr>
            <w:tcW w:w="2809"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核查企业质量保证系统是否完整、有效运行，重点包括质量目标管理、偏差处理、变更控制、纠正与预防措施（CAPA）、产品质量回顾分析、供应商管理、自检等子系统，检查关键人员资质、职责履行及培训情况；核实生产、质量控制等岗位人员是否具备相应能力和资质；</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检查生产、仓储、质量控制等区域的布局、环境控制（如洁净区）是否符合要求；确认设备确认与验证状态、维护保养、清洁与使用记录等是否合规；检查原辅料、包装材料、中间产品、成品的接收、贮存、发放、使用、发运等全过程管理；</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3.核实生产工艺与操作规程的执行一致性；检查批生产记录、污染防控与清洁验证等；</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4.检查实验室管理、检验方法验证/确认、检验记录与报告、留样管理、稳定性考察等活动的合规性；核实数据可靠性管理体系运行情况。</w:t>
            </w:r>
          </w:p>
        </w:tc>
        <w:tc>
          <w:tcPr>
            <w:tcW w:w="922"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1.高风险药品生产企业每年不少于1次的GMP符合性检查 。</w:t>
            </w:r>
          </w:p>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2.其他药品生产企业按照企业数30%的比例抽取。</w:t>
            </w:r>
          </w:p>
        </w:tc>
        <w:tc>
          <w:tcPr>
            <w:tcW w:w="508"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500"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66" w:type="dxa"/>
            <w:vAlign w:val="center"/>
          </w:tcPr>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t>对全省药品上市许可持有人、药品生产企业监督检查（含医疗机构）</w:t>
            </w:r>
          </w:p>
        </w:tc>
        <w:tc>
          <w:tcPr>
            <w:tcW w:w="542" w:type="dxa"/>
            <w:vAlign w:val="center"/>
          </w:tcPr>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pacing w:val="-20"/>
                <w:sz w:val="21"/>
                <w:szCs w:val="21"/>
                <w:lang w:val="en-US" w:eastAsia="zh-CN"/>
              </w:rPr>
              <w:t>上市许可持有人、药品生产企业（含医疗机构）</w:t>
            </w:r>
          </w:p>
        </w:tc>
        <w:tc>
          <w:tcPr>
            <w:tcW w:w="917" w:type="dxa"/>
            <w:vAlign w:val="center"/>
          </w:tcPr>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pacing w:val="-20"/>
                <w:sz w:val="21"/>
                <w:szCs w:val="21"/>
                <w:lang w:val="en-US" w:eastAsia="zh-CN"/>
              </w:rPr>
              <w:t>对全省药品上市许可持有人、药品生产企业开展监督检查</w:t>
            </w:r>
          </w:p>
        </w:tc>
        <w:tc>
          <w:tcPr>
            <w:tcW w:w="3538" w:type="dxa"/>
            <w:vAlign w:val="center"/>
          </w:tcPr>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《药品生产监督管理办法》第四十九条第一款 省、自治区、直辖市药品监督管理部门负责对本行政区域内药品上市许可持有人，制剂、化学原料药、中药饮片生产企业的监督管理。第五十五条第一款第（三）项省、自治区、直辖市药品监督管理部门应当根据药品品种、剂型、管制类别等特点，结合国家药品安全总体情况、药品安全风险警示信息、重大药品安全事件及其调查处理信息等，以及既往检查、检验、不良反应监测、投诉举报等情况确定检查频次：（三）对上述产品之外的药品生产企业，每年抽取一定比例开展监督检查，但应当在三年内对本行政区域内企业全部进行检查；</w:t>
            </w:r>
          </w:p>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《医疗机构药品监督管理办法(试行)》第二十七条　药品监督管理部门应当对医疗机构药品购进、储存、调配和使用质量情况进行监督检查，并建立医疗机构监督检查档案。</w:t>
            </w:r>
          </w:p>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《药品检查管理办法(试行)》第五条第二款 省级药品监督管理部门负责组织对本行政区域内药品上市许可持有人、药品生产企业、药品批发企业、药品零售连锁总部、药品网络交易第三方平台等相关检查；指导市县级药品监督管理部门开展药品零售企业、使用单位的检查，组织查处区域内的重大违法违规行为。</w:t>
            </w:r>
          </w:p>
        </w:tc>
        <w:tc>
          <w:tcPr>
            <w:tcW w:w="754"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1-10月</w:t>
            </w:r>
          </w:p>
        </w:tc>
        <w:tc>
          <w:tcPr>
            <w:tcW w:w="2809" w:type="dxa"/>
            <w:vAlign w:val="center"/>
          </w:tcPr>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加强原辅料管理，完善、落实原辅料管理制度，建立健全质量控制、储存养护、出入库追溯等制度，对购进的原辅料必须进行验收检验，坚决杜绝购进使用不符合药用要求的原辅料，坚决杜绝原辅料未经检验入库，坚决杜绝未按炮制净制要求投料生产；</w:t>
            </w:r>
          </w:p>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2.开展法定生产工艺执行情况的监督检查，强化落实法定生产工艺的严肃性和规范性，严禁擅自变更处方标准和生产工艺；</w:t>
            </w:r>
          </w:p>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3.严格落实产品批批检验和全项检验制度，坚决杜绝不按法定标准和法定方法检验的行为，对数据和记录的真实可靠进行溯源检查；</w:t>
            </w:r>
          </w:p>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4.严肃查处擅自委托或受托生产、违法设置车间隐瞒生产等情形。</w:t>
            </w:r>
          </w:p>
        </w:tc>
        <w:tc>
          <w:tcPr>
            <w:tcW w:w="922"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1.对化学药品、中药制剂生产企业监督检查不少于1次。</w:t>
            </w:r>
          </w:p>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2.对已许可的医疗机构制剂室全覆盖检查。</w:t>
            </w:r>
          </w:p>
        </w:tc>
        <w:tc>
          <w:tcPr>
            <w:tcW w:w="508"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260" w:lineRule="exact"/>
              <w:ind w:left="0" w:leftChars="0" w:right="0" w:firstLine="0" w:firstLineChars="0"/>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6" w:hRule="atLeast"/>
          <w:jc w:val="center"/>
        </w:trPr>
        <w:tc>
          <w:tcPr>
            <w:tcW w:w="500"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6" w:type="dxa"/>
            <w:vAlign w:val="center"/>
          </w:tcPr>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t>对药包材生产企业监督检查</w:t>
            </w:r>
          </w:p>
        </w:tc>
        <w:tc>
          <w:tcPr>
            <w:tcW w:w="542" w:type="dxa"/>
            <w:vAlign w:val="center"/>
          </w:tcPr>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pacing w:val="-20"/>
                <w:sz w:val="21"/>
                <w:szCs w:val="21"/>
                <w:lang w:val="en-US" w:eastAsia="zh-CN"/>
              </w:rPr>
              <w:t>药包材生产企业</w:t>
            </w:r>
          </w:p>
        </w:tc>
        <w:tc>
          <w:tcPr>
            <w:tcW w:w="917" w:type="dxa"/>
            <w:vAlign w:val="center"/>
          </w:tcPr>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pacing w:val="-20"/>
                <w:sz w:val="21"/>
                <w:szCs w:val="21"/>
                <w:lang w:val="en-US" w:eastAsia="zh-CN"/>
              </w:rPr>
              <w:t>对药包材监督检查</w:t>
            </w:r>
          </w:p>
        </w:tc>
        <w:tc>
          <w:tcPr>
            <w:tcW w:w="3538" w:type="dxa"/>
            <w:vAlign w:val="center"/>
          </w:tcPr>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《药品生产监督管理办法》第四十九条第二款 省、自治区、直辖市药品监督管理部门应当对原料、辅料、直接接触药品的包装材料和容器等供应商、生产企业开展日常监督检查，必要时开展延伸检查。</w:t>
            </w:r>
          </w:p>
        </w:tc>
        <w:tc>
          <w:tcPr>
            <w:tcW w:w="754"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1-10月</w:t>
            </w:r>
          </w:p>
        </w:tc>
        <w:tc>
          <w:tcPr>
            <w:tcW w:w="2809" w:type="dxa"/>
            <w:vAlign w:val="center"/>
          </w:tcPr>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1.药包材生产企业是否持续符合《药包材生产质量管理规范》要求，重点关注与药品直接接触包材的洁净环境控制、设备清洁验证及变更管理；</w:t>
            </w:r>
          </w:p>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2.核查生产工艺、关键工艺参数是否与备案/登记资料一致；检查原料、生产过程及成品的质量控制情况，包括检验方法验证、检验数据可靠性以及产品放行管理程序的严格执行；</w:t>
            </w:r>
          </w:p>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3.检查是否建立并执行供应商审计制度，特别是对关键物料供应商的现场审计；是否建立有效的客户沟通机制，及时获取并响应药品生产企业的质量反馈与变更需求；</w:t>
            </w:r>
          </w:p>
          <w:p>
            <w:pPr>
              <w:widowControl w:val="0"/>
              <w:wordWrap/>
              <w:adjustRightInd/>
              <w:snapToGrid/>
              <w:spacing w:line="26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4.检查涉及产品质量、法规符合性的变更是否经过充分评估、验证和批准；偏差调查处理是否及时、彻底，并采取有效措施防止再次发生。</w:t>
            </w:r>
          </w:p>
        </w:tc>
        <w:tc>
          <w:tcPr>
            <w:tcW w:w="922"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登记状态为“A”的药包材生产企业监督检查1次。</w:t>
            </w:r>
          </w:p>
        </w:tc>
        <w:tc>
          <w:tcPr>
            <w:tcW w:w="508"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26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260" w:lineRule="exact"/>
              <w:ind w:left="0" w:leftChars="0" w:right="0" w:firstLine="0" w:firstLineChars="0"/>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9" w:hRule="atLeast"/>
          <w:jc w:val="center"/>
        </w:trPr>
        <w:tc>
          <w:tcPr>
            <w:tcW w:w="500"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86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t>对药品上市许可持有人药物警戒检查</w:t>
            </w:r>
          </w:p>
        </w:tc>
        <w:tc>
          <w:tcPr>
            <w:tcW w:w="54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pacing w:val="-20"/>
                <w:sz w:val="21"/>
                <w:szCs w:val="21"/>
                <w:lang w:val="en-US" w:eastAsia="zh-CN"/>
              </w:rPr>
              <w:t>药品上市许可持有人</w:t>
            </w:r>
          </w:p>
        </w:tc>
        <w:tc>
          <w:tcPr>
            <w:tcW w:w="91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pacing w:val="-20"/>
                <w:sz w:val="21"/>
                <w:szCs w:val="21"/>
                <w:lang w:val="en-US" w:eastAsia="zh-CN"/>
              </w:rPr>
              <w:t>对全省药品上市许可持有人药物警戒检查</w:t>
            </w:r>
          </w:p>
        </w:tc>
        <w:tc>
          <w:tcPr>
            <w:tcW w:w="3538"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《药品不良反应报告和监测管理办法》第四条 国家食品药品监督管理局主管全国药品不良反应报告和监测工作，地方各级药品监督管理部门主管本行政区域内的药品不良反应报告和监测工作。各级卫生行政部门负责本行政区域内医疗机构与实施药品不良反应报告制度有关的管理工作。</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第四十三条　省级以上药品不良反应监测机构负责对药品生产企业开展的重点监测进行监督、检查,并对监测报告进行技术评价。</w:t>
            </w:r>
          </w:p>
        </w:tc>
        <w:tc>
          <w:tcPr>
            <w:tcW w:w="754"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1-10月</w:t>
            </w:r>
          </w:p>
        </w:tc>
        <w:tc>
          <w:tcPr>
            <w:tcW w:w="2809"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督促药品上市许可持有人落实药物警戒主体责任，建立完善药物警戒体系，规范开展药物警戒活动。重点围绕机构人员与资源；质量管理与文件记录；监测与报告；风险识别与评估；风险控制等方面开展药物警戒检查，并对药物警戒检查发现问题的整改落实情况进行复查核实，不符合要求的，省局根据情况采取相应的监管措施。</w:t>
            </w:r>
          </w:p>
        </w:tc>
        <w:tc>
          <w:tcPr>
            <w:tcW w:w="922"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全省药品上市许可持有人监督检查率达100%。</w:t>
            </w:r>
          </w:p>
        </w:tc>
        <w:tc>
          <w:tcPr>
            <w:tcW w:w="508"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1" w:hRule="atLeast"/>
          <w:jc w:val="center"/>
        </w:trPr>
        <w:tc>
          <w:tcPr>
            <w:tcW w:w="500"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86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t>对药品批发企业监督检查</w:t>
            </w:r>
          </w:p>
        </w:tc>
        <w:tc>
          <w:tcPr>
            <w:tcW w:w="54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药品批发企业</w:t>
            </w:r>
          </w:p>
        </w:tc>
        <w:tc>
          <w:tcPr>
            <w:tcW w:w="91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对药品批发企业、零售连锁总部和第三方储运单位监督检查</w:t>
            </w:r>
          </w:p>
        </w:tc>
        <w:tc>
          <w:tcPr>
            <w:tcW w:w="3538"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《药品经营和使用质量监督管理办法》第六条第二款 省、自治区、直辖市药品监督管理部门负责本行政区域内药品经营和使用质量监督管理，负责药品批发企业、药品零售连锁总部的许可、检查和处罚，以及药品上市许可持有人销售行为的检查和处罚；按职责指导设区的市级、县级人民政府承担药品监督管理职责的部门（以下简称市县级药品监督管理部门）的药品经营和使用质量监督管理工作。第六十条第一款第（三）项 县级以上地方药品监督管理部门应当根据药品经营和使用质量管理风险，确定监督检查频次：（三）对第一项、第二项以外的药品经营企业，每年确定一定比例开展药品经营质量管理规范符合性检查，三年内对本行政区域内药品经营企业全部进行检查。</w:t>
            </w:r>
          </w:p>
        </w:tc>
        <w:tc>
          <w:tcPr>
            <w:tcW w:w="754"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1-12月</w:t>
            </w:r>
          </w:p>
        </w:tc>
        <w:tc>
          <w:tcPr>
            <w:tcW w:w="2809"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bookmarkStart w:id="0" w:name="OLE_LINK55"/>
            <w:r>
              <w:rPr>
                <w:rFonts w:hint="eastAsia" w:ascii="仿宋" w:hAnsi="仿宋" w:eastAsia="仿宋" w:cs="仿宋"/>
                <w:sz w:val="21"/>
                <w:szCs w:val="21"/>
                <w:lang w:val="en-US" w:eastAsia="zh-CN"/>
              </w:rPr>
              <w:t>.是否出租出借证照、超方式超范围经营、擅自变更（增/减）药品经营地址和仓库地址</w:t>
            </w:r>
            <w:bookmarkEnd w:id="0"/>
            <w:r>
              <w:rPr>
                <w:rFonts w:hint="eastAsia" w:ascii="仿宋" w:hAnsi="仿宋" w:eastAsia="仿宋" w:cs="仿宋"/>
                <w:sz w:val="21"/>
                <w:szCs w:val="21"/>
                <w:lang w:val="en-US" w:eastAsia="zh-CN"/>
              </w:rPr>
              <w:t>、购销假劣药品等违法违规行为。购销药品是否对购进到货和销售出库药品进行入库验收、出库复核并留存真实完整记录、扫药品追溯码并验证采购销售相关数据信息。是否按照分类</w:t>
            </w:r>
            <w:bookmarkStart w:id="1" w:name="OLE_LINK45"/>
            <w:r>
              <w:rPr>
                <w:rFonts w:hint="eastAsia" w:ascii="仿宋" w:hAnsi="仿宋" w:eastAsia="仿宋" w:cs="仿宋"/>
                <w:sz w:val="21"/>
                <w:szCs w:val="21"/>
                <w:lang w:val="en-US" w:eastAsia="zh-CN"/>
              </w:rPr>
              <w:t>陈列</w:t>
            </w:r>
            <w:bookmarkEnd w:id="1"/>
            <w:r>
              <w:rPr>
                <w:rFonts w:hint="eastAsia" w:ascii="仿宋" w:hAnsi="仿宋" w:eastAsia="仿宋" w:cs="仿宋"/>
                <w:sz w:val="21"/>
                <w:szCs w:val="21"/>
                <w:lang w:val="en-US" w:eastAsia="zh-CN"/>
              </w:rPr>
              <w:t>储存运输药品并符合温湿度等条件</w:t>
            </w:r>
            <w:bookmarkStart w:id="2" w:name="OLE_LINK75"/>
            <w:r>
              <w:rPr>
                <w:rFonts w:hint="eastAsia" w:ascii="仿宋" w:hAnsi="仿宋" w:eastAsia="仿宋" w:cs="仿宋"/>
                <w:sz w:val="21"/>
                <w:szCs w:val="21"/>
                <w:lang w:val="en-US" w:eastAsia="zh-CN"/>
              </w:rPr>
              <w:t>。是否存在脱链储运冷藏冷冻药品情形，</w:t>
            </w:r>
            <w:bookmarkEnd w:id="2"/>
            <w:r>
              <w:rPr>
                <w:rFonts w:hint="eastAsia" w:ascii="仿宋" w:hAnsi="仿宋" w:eastAsia="仿宋" w:cs="仿宋"/>
                <w:sz w:val="21"/>
                <w:szCs w:val="21"/>
                <w:lang w:val="en-US" w:eastAsia="zh-CN"/>
              </w:rPr>
              <w:t>陈列/库存药品是否存在过期失效、发霉变质等情形。药品购、存、销数量和票、账、货是否相符，</w:t>
            </w:r>
            <w:bookmarkStart w:id="3" w:name="OLE_LINK74"/>
            <w:r>
              <w:rPr>
                <w:rFonts w:hint="eastAsia" w:ascii="仿宋" w:hAnsi="仿宋" w:eastAsia="仿宋" w:cs="仿宋"/>
                <w:sz w:val="21"/>
                <w:szCs w:val="21"/>
                <w:lang w:val="en-US" w:eastAsia="zh-CN"/>
              </w:rPr>
              <w:t>是否落实药品信息化追溯管理要求</w:t>
            </w:r>
            <w:bookmarkEnd w:id="3"/>
            <w:r>
              <w:rPr>
                <w:rFonts w:hint="eastAsia" w:ascii="仿宋" w:hAnsi="仿宋" w:eastAsia="仿宋" w:cs="仿宋"/>
                <w:sz w:val="21"/>
                <w:szCs w:val="21"/>
                <w:lang w:val="en-US" w:eastAsia="zh-CN"/>
              </w:rPr>
              <w:t>。主要负责人、质量负责人、执业药师等关键岗位人员是否在岗履职等。</w:t>
            </w:r>
            <w:bookmarkStart w:id="4" w:name="OLE_LINK62"/>
            <w:bookmarkStart w:id="5" w:name="OLE_LINK63"/>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2.经营特殊药品</w:t>
            </w:r>
            <w:bookmarkStart w:id="6" w:name="OLE_LINK64"/>
            <w:r>
              <w:rPr>
                <w:rFonts w:hint="eastAsia" w:ascii="仿宋" w:hAnsi="仿宋" w:eastAsia="仿宋" w:cs="仿宋"/>
                <w:sz w:val="21"/>
                <w:szCs w:val="21"/>
                <w:lang w:val="en-US" w:eastAsia="zh-CN"/>
              </w:rPr>
              <w:t>的，重点检查是否具备</w:t>
            </w:r>
            <w:bookmarkEnd w:id="6"/>
            <w:r>
              <w:rPr>
                <w:rFonts w:hint="eastAsia" w:ascii="仿宋" w:hAnsi="仿宋" w:eastAsia="仿宋" w:cs="仿宋"/>
                <w:sz w:val="21"/>
                <w:szCs w:val="21"/>
                <w:lang w:val="en-US" w:eastAsia="zh-CN"/>
              </w:rPr>
              <w:t>特殊药品定点经营资格，购销渠道是否合法，是否存在现金交易情形，</w:t>
            </w:r>
            <w:bookmarkStart w:id="7" w:name="OLE_LINK56"/>
            <w:bookmarkStart w:id="8" w:name="OLE_LINK57"/>
            <w:r>
              <w:rPr>
                <w:rFonts w:hint="eastAsia" w:ascii="仿宋" w:hAnsi="仿宋" w:eastAsia="仿宋" w:cs="仿宋"/>
                <w:sz w:val="21"/>
                <w:szCs w:val="21"/>
                <w:lang w:val="en-US" w:eastAsia="zh-CN"/>
              </w:rPr>
              <w:t>药品出入库是否严格执行双人验收、双人复核，</w:t>
            </w:r>
            <w:bookmarkStart w:id="9" w:name="OLE_LINK69"/>
            <w:bookmarkStart w:id="10" w:name="OLE_LINK68"/>
            <w:bookmarkEnd w:id="7"/>
            <w:bookmarkEnd w:id="8"/>
            <w:r>
              <w:rPr>
                <w:rFonts w:hint="eastAsia" w:ascii="仿宋" w:hAnsi="仿宋" w:eastAsia="仿宋" w:cs="仿宋"/>
                <w:sz w:val="21"/>
                <w:szCs w:val="21"/>
                <w:lang w:val="en-US" w:eastAsia="zh-CN"/>
              </w:rPr>
              <w:t>是否查验到最小包装，</w:t>
            </w:r>
            <w:bookmarkEnd w:id="9"/>
            <w:bookmarkEnd w:id="10"/>
            <w:r>
              <w:rPr>
                <w:rFonts w:hint="eastAsia" w:ascii="仿宋" w:hAnsi="仿宋" w:eastAsia="仿宋" w:cs="仿宋"/>
                <w:sz w:val="21"/>
                <w:szCs w:val="21"/>
                <w:lang w:val="en-US" w:eastAsia="zh-CN"/>
              </w:rPr>
              <w:t>交接流转是否双人签收，是否建立专用账册、专用记录，是否设置专库（专柜）储存、实行双人双锁管理、安装监控设施，专库是否安装有专用防盗门、实现报警联网管理，是否专车运输、专人（双人）押运，是否存在客户自提货情形，不合格药品报损销毁管理是否规范严谨，是否存在流失流弊等情形。</w:t>
            </w:r>
            <w:bookmarkEnd w:id="4"/>
            <w:bookmarkEnd w:id="5"/>
          </w:p>
        </w:tc>
        <w:tc>
          <w:tcPr>
            <w:tcW w:w="922"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1.对辖区40%药品批发企业和第三方储运单位开展监督检查。</w:t>
            </w:r>
            <w:r>
              <w:rPr>
                <w:rFonts w:hint="eastAsia" w:ascii="仿宋" w:hAnsi="仿宋" w:eastAsia="仿宋" w:cs="仿宋"/>
                <w:sz w:val="21"/>
                <w:szCs w:val="21"/>
                <w:lang w:val="en-US" w:eastAsia="zh-CN"/>
              </w:rPr>
              <w:br/>
            </w:r>
            <w:r>
              <w:rPr>
                <w:rFonts w:hint="eastAsia" w:ascii="仿宋" w:hAnsi="仿宋" w:eastAsia="仿宋" w:cs="仿宋"/>
                <w:sz w:val="21"/>
                <w:szCs w:val="21"/>
                <w:lang w:val="en-US" w:eastAsia="zh-CN"/>
              </w:rPr>
              <w:t>2.对麻醉药品和第一类精神药品、药品类易制毒化学品经营企业检查，每半年不少于1次。</w:t>
            </w:r>
          </w:p>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3.对冷藏冷冻药品、血液制品、细胞治疗类生物制品、第二类精神药品、放射性药品、医疗用毒性药品经营企业，每年</w:t>
            </w:r>
            <w:bookmarkStart w:id="11" w:name="OLE_LINK38"/>
            <w:bookmarkStart w:id="12" w:name="OLE_LINK39"/>
            <w:r>
              <w:rPr>
                <w:rFonts w:hint="eastAsia" w:ascii="仿宋" w:hAnsi="仿宋" w:eastAsia="仿宋" w:cs="仿宋"/>
                <w:sz w:val="21"/>
                <w:szCs w:val="21"/>
                <w:lang w:val="en-US" w:eastAsia="zh-CN"/>
              </w:rPr>
              <w:t>不少于1次</w:t>
            </w:r>
            <w:bookmarkEnd w:id="11"/>
            <w:bookmarkEnd w:id="12"/>
            <w:r>
              <w:rPr>
                <w:rFonts w:hint="eastAsia" w:ascii="仿宋" w:hAnsi="仿宋" w:eastAsia="仿宋" w:cs="仿宋"/>
                <w:sz w:val="21"/>
                <w:szCs w:val="21"/>
                <w:lang w:val="en-US" w:eastAsia="zh-CN"/>
              </w:rPr>
              <w:t>。</w:t>
            </w:r>
          </w:p>
          <w:p>
            <w:pPr>
              <w:widowControl w:val="0"/>
              <w:wordWrap/>
              <w:adjustRightInd/>
              <w:snapToGrid/>
              <w:spacing w:line="26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4.对上一年度新开办的药品批发企业、新进从事第三方储运企业实施药品GSP符合性检查。</w:t>
            </w:r>
          </w:p>
        </w:tc>
        <w:tc>
          <w:tcPr>
            <w:tcW w:w="508"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8" w:hRule="atLeast"/>
          <w:jc w:val="center"/>
        </w:trPr>
        <w:tc>
          <w:tcPr>
            <w:tcW w:w="500"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6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t>对药品零售连锁总部监督检查</w:t>
            </w:r>
          </w:p>
        </w:tc>
        <w:tc>
          <w:tcPr>
            <w:tcW w:w="54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药品零售连锁总部</w:t>
            </w:r>
          </w:p>
        </w:tc>
        <w:tc>
          <w:tcPr>
            <w:tcW w:w="91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对药品批发企业、零售连锁总部和第三方储运单位监督检查</w:t>
            </w:r>
          </w:p>
        </w:tc>
        <w:tc>
          <w:tcPr>
            <w:tcW w:w="3538"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《药品经营和使用质量监督管理办法》第六条第二款 省、自治区、直辖市药品监督管理部门负责本行政区域内药品经营和使用质量监督管理，负责药品批发企业、药品零售连锁总部的许可、检查和处罚，以及药品上市许可持有人销售行为的检查和处罚；按职责指导设区的市级、县级人民政府承担药品监督管理职责的部门（以下简称市县级药品监督管理部门）的药品经营和使用质量监督管理工作。第六十条第一款第（三）项 县级以上地方药品监督管理部门应当根据药品经营和使用质量管理风险，确定监督检查频次：（三）对第一项、第二项以外的药品经营企业，每年确定一定比例开展药品经营质量管理规范符合性检查，三年内对本行政区域内药品经营企业全部进行检查。</w:t>
            </w:r>
          </w:p>
        </w:tc>
        <w:tc>
          <w:tcPr>
            <w:tcW w:w="754"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1-12月</w:t>
            </w:r>
          </w:p>
        </w:tc>
        <w:tc>
          <w:tcPr>
            <w:tcW w:w="2809"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是否严格执行药品监管法律法规规章、是否建立独立的质量管理体系并保持有效运行；是否落实“七统一”管理要求。</w:t>
            </w:r>
          </w:p>
        </w:tc>
        <w:tc>
          <w:tcPr>
            <w:tcW w:w="922"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1.对辖区40%药品零售连锁总部开展监督检查。</w:t>
            </w:r>
          </w:p>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2.对上一年度新开办的药品零售连锁总部实施药品GSP符合性检查。</w:t>
            </w:r>
          </w:p>
        </w:tc>
        <w:tc>
          <w:tcPr>
            <w:tcW w:w="508"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jc w:val="center"/>
        </w:trPr>
        <w:tc>
          <w:tcPr>
            <w:tcW w:w="500"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86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t>对药品网络销售第三方平台监督检查</w:t>
            </w:r>
          </w:p>
        </w:tc>
        <w:tc>
          <w:tcPr>
            <w:tcW w:w="54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药品网络销售第三方平台</w:t>
            </w:r>
          </w:p>
        </w:tc>
        <w:tc>
          <w:tcPr>
            <w:tcW w:w="91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对药品网络销售第三方平台的监督检查</w:t>
            </w:r>
          </w:p>
        </w:tc>
        <w:tc>
          <w:tcPr>
            <w:tcW w:w="3538"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《药品网络销售监督管理办法》第二十六条 药品监督管理部门应当依照法律、法规、规章等规定，按照职责分工对第三方平台和药品网络销售企业实施监督检查。</w:t>
            </w:r>
          </w:p>
        </w:tc>
        <w:tc>
          <w:tcPr>
            <w:tcW w:w="754"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1-12月</w:t>
            </w:r>
          </w:p>
        </w:tc>
        <w:tc>
          <w:tcPr>
            <w:tcW w:w="2809"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是否取得并按要求展示合法资质信息，是否履行备案义务；否履行对入驻药品网售企业的监控和管理职责；是否具备风险隐患识别预警处置能力，以及经营数据记录的真实性、准确性、可追溯性。</w:t>
            </w:r>
          </w:p>
        </w:tc>
        <w:tc>
          <w:tcPr>
            <w:tcW w:w="922"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对药品网售第三方平台每年不少于1次检查。</w:t>
            </w:r>
          </w:p>
        </w:tc>
        <w:tc>
          <w:tcPr>
            <w:tcW w:w="508"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0" w:hRule="atLeast"/>
          <w:jc w:val="center"/>
        </w:trPr>
        <w:tc>
          <w:tcPr>
            <w:tcW w:w="500"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10</w:t>
            </w:r>
          </w:p>
        </w:tc>
        <w:tc>
          <w:tcPr>
            <w:tcW w:w="86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对为医疗器械网络交易提供服务的电子商务平台经营者监督检查</w:t>
            </w:r>
          </w:p>
        </w:tc>
        <w:tc>
          <w:tcPr>
            <w:tcW w:w="54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省药监局</w:t>
            </w:r>
          </w:p>
        </w:tc>
        <w:tc>
          <w:tcPr>
            <w:tcW w:w="71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为医疗器械网络交易提供服务的电子商务平台经营者</w:t>
            </w:r>
          </w:p>
        </w:tc>
        <w:tc>
          <w:tcPr>
            <w:tcW w:w="91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对医疗器械网络交易服务第三方平台监督检查</w:t>
            </w:r>
          </w:p>
        </w:tc>
        <w:tc>
          <w:tcPr>
            <w:tcW w:w="3538"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《医疗器械网络销售监督管理办法》第三条第二款 省级食品药品监督管理部门负责医疗器械网络交易服务的监督管理。第十七条第三款省级食品药品监督管理部门应当在医疗器械网络交易服务第三方平台提供者备案后 3 个月内，对医疗器械网络交易服务第三方平台开展现场检查。</w:t>
            </w:r>
          </w:p>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p>
        </w:tc>
        <w:tc>
          <w:tcPr>
            <w:tcW w:w="754"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1-12月</w:t>
            </w:r>
          </w:p>
        </w:tc>
        <w:tc>
          <w:tcPr>
            <w:tcW w:w="2809"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电商平台经营者是否依法履行医疗器械网络销售质量安全管理责任，按照法律、法规、规章、规范等规定的要求为医疗器械网络交易提供电子商务平台服务，对入网的网络销售经营者进行实名登记，审查其医疗器械相关许可、备案等情况和网络销售医疗器械产品注册、备案情况，采取有效措施对平台内医疗器械经营者的经营行为进行管理。</w:t>
            </w:r>
          </w:p>
        </w:tc>
        <w:tc>
          <w:tcPr>
            <w:tcW w:w="92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现场检查</w:t>
            </w:r>
          </w:p>
        </w:tc>
        <w:tc>
          <w:tcPr>
            <w:tcW w:w="105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对为医疗器械网络交易提供服务的电子商务平台经营者每年不少于1次检查。</w:t>
            </w:r>
          </w:p>
        </w:tc>
        <w:tc>
          <w:tcPr>
            <w:tcW w:w="508"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省级</w:t>
            </w:r>
          </w:p>
        </w:tc>
        <w:tc>
          <w:tcPr>
            <w:tcW w:w="77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p>
        </w:tc>
        <w:tc>
          <w:tcPr>
            <w:tcW w:w="411"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否</w:t>
            </w:r>
          </w:p>
        </w:tc>
        <w:tc>
          <w:tcPr>
            <w:tcW w:w="88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否</w:t>
            </w:r>
          </w:p>
        </w:tc>
        <w:tc>
          <w:tcPr>
            <w:tcW w:w="658" w:type="dxa"/>
            <w:vAlign w:val="top"/>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6" w:hRule="atLeast"/>
          <w:jc w:val="center"/>
        </w:trPr>
        <w:tc>
          <w:tcPr>
            <w:tcW w:w="500"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86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pacing w:val="-20"/>
                <w:sz w:val="21"/>
                <w:szCs w:val="21"/>
                <w:lang w:val="en-US" w:eastAsia="zh-CN"/>
              </w:rPr>
              <w:t>对医疗器械生产企业监督检查（实施四级、三级、二级分类监管）</w:t>
            </w:r>
          </w:p>
        </w:tc>
        <w:tc>
          <w:tcPr>
            <w:tcW w:w="54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医疗器械生产企业</w:t>
            </w:r>
          </w:p>
        </w:tc>
        <w:tc>
          <w:tcPr>
            <w:tcW w:w="91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对医疗器械生产监督检查</w:t>
            </w:r>
          </w:p>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（不含第一类医疗器械）</w:t>
            </w:r>
          </w:p>
        </w:tc>
        <w:tc>
          <w:tcPr>
            <w:tcW w:w="3538"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《医疗器械监督管理条例》第六十九条 负责药品监督管理的部门应当对医疗器械的研制、生产、经营活动以及使用环节的医疗器械质量加强监督检查。</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《医疗器械生产监督管理办法》第五条 省、自治区、直辖市药品监督管理部门负责本行政区域第二类、第三类医疗器械生产监督管理。</w:t>
            </w:r>
          </w:p>
        </w:tc>
        <w:tc>
          <w:tcPr>
            <w:tcW w:w="754"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5-11月</w:t>
            </w:r>
          </w:p>
        </w:tc>
        <w:tc>
          <w:tcPr>
            <w:tcW w:w="2809"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二类、第三类医疗器械注册人、生产企业是否持续符合《医疗器械生产质量管理规范》要求，质量管理体系是否有效运行，‌是否按照强制性标准或经注册的产品技术要求组织生产，‌关键岗位人员是否有效履行质量管理职责，‌生产条件是否持续符合法定要求，生产记录、检验记录、采购记录、销售记录等是否真实、完整、可追溯。</w:t>
            </w:r>
          </w:p>
        </w:tc>
        <w:tc>
          <w:tcPr>
            <w:tcW w:w="922"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四级、三级监管企业全覆盖检查；二级监管企业抽取50%开展现场检查</w:t>
            </w:r>
          </w:p>
        </w:tc>
        <w:tc>
          <w:tcPr>
            <w:tcW w:w="508"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jc w:val="center"/>
        </w:trPr>
        <w:tc>
          <w:tcPr>
            <w:tcW w:w="500"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86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t>对化妆品生产企业监督检查</w:t>
            </w:r>
          </w:p>
        </w:tc>
        <w:tc>
          <w:tcPr>
            <w:tcW w:w="54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化妆品生产企业</w:t>
            </w:r>
          </w:p>
        </w:tc>
        <w:tc>
          <w:tcPr>
            <w:tcW w:w="91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对化妆品（含牙膏）生产质量安全监督检查</w:t>
            </w:r>
          </w:p>
        </w:tc>
        <w:tc>
          <w:tcPr>
            <w:tcW w:w="3538"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妆品监督管理条例》第五条第二款县级以上地方人民政府负责药品监督管理的部门负责本行政区域的化妆品监督管理工作。县级以上地方人民政府有关部门在各自职责范围内负责与化妆品有关的监督管理工作。</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《化妆品生产经营监督管理办法》第三条第二款 县级以上地方人民政府负责药品监督管理的部门负责本行政区域的化妆品监督管理工作。第五十条  负责药品监督管理的部门应当按照风险管理的原则，确定监督检查的重点品种、重点环节、检查方式和检查频次等，加强对化妆品生产经营者的监督检查。必要时，负责药品监督管理的部门可以对化妆品原料、直接接触化妆品的包装材料的供应商、生产企业开展延伸检查。</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《化妆品检查管理办法》第四条 县级以上药品监督管理部门负责本行政区域的化妆品检查管理工作。</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《牙膏监督管理办法》第四条第二款 县级以上地方人民政府负责药品监督管理的部门负责本行政区域的牙膏监督管理工作。</w:t>
            </w:r>
          </w:p>
        </w:tc>
        <w:tc>
          <w:tcPr>
            <w:tcW w:w="754"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4-10月</w:t>
            </w:r>
          </w:p>
        </w:tc>
        <w:tc>
          <w:tcPr>
            <w:tcW w:w="2809"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1.质量管理体系文件是否健全、可操作性强；质量管理制度是否严格执行，定期开展的化妆品生产质量管理规范执行情况自查是否到位、自查问题是否整改；</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2.生产车间内是否存在污染源，是否采取有效措施防范物料、产品污染和交叉污染；是否采取有效清洁措施防止交叉污染。</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3.物料管理制度是否健全，供应商遴选、审核流程是否规范；原料使用、储存及生产用水水质监测是否符合要求。</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4.是否严格按照批准或备案的配方、生产工艺规程组织生产，产品物料平衡是否符合生产相关要求，是否存在使用禁用组分、未经批准的新原料或者超量使用限用物质等行为。</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5.是否依照相关法律法规规定和标签标示要求贮存留样产品，留样记录是否完整留存。</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6.是否存在编造生产、检验记录等行为；出厂放行是否符合规定，是否存在选择性使用检验数据、未经检验放行、检验不合格产品放行等违规情形。</w:t>
            </w:r>
          </w:p>
        </w:tc>
        <w:tc>
          <w:tcPr>
            <w:tcW w:w="922"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对化妆品生产企业监督检查每年不少于1次</w:t>
            </w:r>
          </w:p>
        </w:tc>
        <w:tc>
          <w:tcPr>
            <w:tcW w:w="508"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0" w:hRule="atLeast"/>
          <w:jc w:val="center"/>
        </w:trPr>
        <w:tc>
          <w:tcPr>
            <w:tcW w:w="500"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86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lang w:val="en-US" w:eastAsia="zh-CN"/>
              </w:rPr>
              <w:t>对化妆品注册人、备案人监督检查</w:t>
            </w:r>
          </w:p>
        </w:tc>
        <w:tc>
          <w:tcPr>
            <w:tcW w:w="542"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省药监局</w:t>
            </w:r>
          </w:p>
        </w:tc>
        <w:tc>
          <w:tcPr>
            <w:tcW w:w="71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化妆品注册人、备案人</w:t>
            </w:r>
          </w:p>
        </w:tc>
        <w:tc>
          <w:tcPr>
            <w:tcW w:w="917"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对化妆品注册、备案行为监督检查</w:t>
            </w:r>
          </w:p>
        </w:tc>
        <w:tc>
          <w:tcPr>
            <w:tcW w:w="3538"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妆品监督管理条例》第五条第二款县级以上地方人民政府负责药品监督管理的部门负责本行政区域的化妆品监督管理工作。县级以上地方人民政府有关部门在各自职责范围内负责与化妆品有关的监督管理工作。</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妆品注册备案管理办法》第六条省、自治区、直辖市药品监督管理部门负责本行政区域内国产普通化妆品备案管理工作，在委托范围内以国家药品监督管理局的名义实施进口普通化妆品备案管理工作，并协助开展特殊化妆品注册现场核查等工作。</w:t>
            </w:r>
          </w:p>
        </w:tc>
        <w:tc>
          <w:tcPr>
            <w:tcW w:w="754"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4-10月</w:t>
            </w:r>
          </w:p>
        </w:tc>
        <w:tc>
          <w:tcPr>
            <w:tcW w:w="2809" w:type="dxa"/>
            <w:vAlign w:val="center"/>
          </w:tcPr>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1.是否依法履行质量安全主体责任，是否建立并有效运行化妆品质量管理体系。</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2.化妆品注册、备案资料是否真实，是否与实际生产情况一致；是否及时更新备案信息。</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3.注册人、备案人是否对受托生产企业开展质量审核与监督，是否签订规范的委托生产协议。</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4.注册人、备案人是否执行产品放行管理制度，确保产品经检验合格且相关生产和质量活动记录经审核批准后再行上市放行。</w:t>
            </w:r>
          </w:p>
          <w:p>
            <w:pPr>
              <w:widowControl w:val="0"/>
              <w:wordWrap/>
              <w:adjustRightInd/>
              <w:snapToGrid/>
              <w:spacing w:line="300" w:lineRule="exact"/>
              <w:ind w:left="0" w:leftChars="0" w:right="0" w:firstLine="0" w:firstLineChars="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5.普通化妆品备案后核查。对普通化妆品首次备案的产品开展现场核查，重点检查已备案上市产品的配方、执行工艺标准等与备案资料的一致性。</w:t>
            </w:r>
          </w:p>
        </w:tc>
        <w:tc>
          <w:tcPr>
            <w:tcW w:w="922"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现场检查</w:t>
            </w:r>
          </w:p>
        </w:tc>
        <w:tc>
          <w:tcPr>
            <w:tcW w:w="1056" w:type="dxa"/>
            <w:vAlign w:val="center"/>
          </w:tcPr>
          <w:p>
            <w:pPr>
              <w:widowControl w:val="0"/>
              <w:wordWrap/>
              <w:adjustRightInd/>
              <w:snapToGrid/>
              <w:spacing w:line="300" w:lineRule="exact"/>
              <w:ind w:left="0" w:leftChars="0" w:right="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pacing w:val="-20"/>
                <w:sz w:val="21"/>
                <w:szCs w:val="21"/>
                <w:lang w:val="en-US" w:eastAsia="zh-CN"/>
              </w:rPr>
              <w:t>对化妆品注册人、备案人监督检查每年1次</w:t>
            </w:r>
          </w:p>
        </w:tc>
        <w:tc>
          <w:tcPr>
            <w:tcW w:w="508"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省级</w:t>
            </w:r>
          </w:p>
        </w:tc>
        <w:tc>
          <w:tcPr>
            <w:tcW w:w="776"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p>
        </w:tc>
        <w:tc>
          <w:tcPr>
            <w:tcW w:w="411"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887" w:type="dxa"/>
            <w:vAlign w:val="center"/>
          </w:tcPr>
          <w:p>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否</w:t>
            </w:r>
          </w:p>
        </w:tc>
        <w:tc>
          <w:tcPr>
            <w:tcW w:w="658" w:type="dxa"/>
            <w:vAlign w:val="top"/>
          </w:tcPr>
          <w:p>
            <w:pPr>
              <w:widowControl w:val="0"/>
              <w:wordWrap/>
              <w:adjustRightInd/>
              <w:snapToGrid/>
              <w:spacing w:line="300" w:lineRule="exact"/>
              <w:ind w:left="0" w:leftChars="0" w:right="0" w:firstLine="0" w:firstLineChars="0"/>
              <w:textAlignment w:val="auto"/>
              <w:outlineLvl w:val="9"/>
              <w:rPr>
                <w:rFonts w:hint="eastAsia" w:ascii="仿宋" w:hAnsi="仿宋" w:eastAsia="仿宋" w:cs="仿宋"/>
                <w:sz w:val="21"/>
                <w:szCs w:val="21"/>
                <w:lang w:val="en-US" w:eastAsia="zh-CN"/>
              </w:rPr>
            </w:pPr>
          </w:p>
        </w:tc>
      </w:tr>
    </w:tbl>
    <w:p>
      <w:pPr>
        <w:rPr>
          <w:rFonts w:hint="eastAsia"/>
          <w:lang w:val="en-US" w:eastAsia="zh-CN"/>
        </w:rPr>
      </w:pPr>
    </w:p>
    <w:p>
      <w:pPr>
        <w:spacing w:line="560" w:lineRule="exact"/>
        <w:rPr>
          <w:rFonts w:hint="eastAsia" w:ascii="仿宋" w:hAnsi="仿宋" w:eastAsia="仿宋"/>
          <w:sz w:val="32"/>
          <w:szCs w:val="32"/>
        </w:rPr>
        <w:sectPr>
          <w:headerReference r:id="rId4" w:type="default"/>
          <w:footerReference r:id="rId6" w:type="default"/>
          <w:headerReference r:id="rId5" w:type="even"/>
          <w:footerReference r:id="rId7" w:type="even"/>
          <w:footnotePr>
            <w:numFmt w:val="decimalHalfWidth"/>
          </w:footnotePr>
          <w:endnotePr>
            <w:numFmt w:val="chineseCounting"/>
          </w:endnotePr>
          <w:pgSz w:w="16837" w:h="11905" w:orient="landscape"/>
          <w:pgMar w:top="1587" w:right="2098" w:bottom="1474" w:left="1984" w:header="850" w:footer="1474" w:gutter="0"/>
          <w:pgNumType w:fmt="numberInDash"/>
          <w:cols w:space="720" w:num="1"/>
          <w:rtlGutter w:val="0"/>
          <w:docGrid w:type="linesAndChars" w:linePitch="579" w:charSpace="-856"/>
        </w:sectPr>
      </w:pPr>
    </w:p>
    <w:p>
      <w:pPr>
        <w:spacing w:line="540" w:lineRule="exact"/>
        <w:ind w:firstLine="158" w:firstLineChars="50"/>
        <w:jc w:val="left"/>
        <w:rPr>
          <w:rFonts w:hint="eastAsia" w:ascii="仿宋_GB2312" w:eastAsia="仿宋_GB2312"/>
          <w:sz w:val="32"/>
          <w:szCs w:val="32"/>
        </w:rPr>
      </w:pPr>
    </w:p>
    <w:p>
      <w:pPr>
        <w:spacing w:line="540" w:lineRule="exact"/>
        <w:jc w:val="left"/>
        <w:rPr>
          <w:rFonts w:hint="eastAsia" w:ascii="仿宋_GB2312" w:eastAsia="仿宋_GB2312"/>
          <w:sz w:val="28"/>
          <w:szCs w:val="28"/>
        </w:rPr>
      </w:pPr>
    </w:p>
    <w:p>
      <w:pPr>
        <w:spacing w:line="540" w:lineRule="exact"/>
        <w:jc w:val="left"/>
        <w:rPr>
          <w:rFonts w:hint="eastAsia" w:ascii="仿宋_GB2312" w:eastAsia="仿宋_GB2312"/>
          <w:sz w:val="28"/>
          <w:szCs w:val="28"/>
        </w:rPr>
      </w:pPr>
    </w:p>
    <w:p>
      <w:pPr>
        <w:spacing w:line="20" w:lineRule="exact"/>
        <w:jc w:val="left"/>
        <w:rPr>
          <w:rFonts w:hint="eastAsia" w:ascii="仿宋_GB2312" w:eastAsia="仿宋_GB2312"/>
          <w:sz w:val="32"/>
          <w:szCs w:val="32"/>
        </w:rPr>
      </w:pPr>
    </w:p>
    <w:sectPr>
      <w:footerReference r:id="rId8" w:type="default"/>
      <w:footerReference r:id="rId9" w:type="even"/>
      <w:footnotePr>
        <w:numFmt w:val="decimalHalfWidth"/>
      </w:footnotePr>
      <w:endnotePr>
        <w:numFmt w:val="chineseCounting"/>
      </w:endnotePr>
      <w:pgSz w:w="11905" w:h="16837"/>
      <w:pgMar w:top="2098" w:right="1474" w:bottom="1984" w:left="1588" w:header="850" w:footer="1474" w:gutter="0"/>
      <w:pgNumType w:fmt="numberInDash"/>
      <w:cols w:space="720" w:num="1"/>
      <w:docGrid w:type="linesAndChars" w:linePitch="579" w:charSpace="-8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穝灿砰">
    <w:altName w:val="Noto Serif SC"/>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wordWrap w:val="0"/>
      <w:spacing w:line="600" w:lineRule="exact"/>
      <w:jc w:val="right"/>
      <w:rPr>
        <w:rFonts w:ascii="宋体" w:hAnsi="宋体"/>
        <w:sz w:val="28"/>
        <w:szCs w:val="28"/>
      </w:rPr>
    </w:pPr>
    <w:r>
      <w:rPr>
        <w:rFonts w:ascii="Times New Roman" w:hAnsi="Times New Roman" w:eastAsia="宋体" w:cs="Times New Roman"/>
        <w:kern w:val="2"/>
        <w:sz w:val="28"/>
        <w:szCs w:val="18"/>
        <w:lang w:val="en-US" w:eastAsia="zh-CN" w:bidi="ar-SA"/>
      </w:rPr>
      <w:pict>
        <v:shape id="文本框 3"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9"/>
                  <w:wordWrap w:val="0"/>
                  <w:spacing w:line="600" w:lineRule="exact"/>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600" w:lineRule="exact"/>
      <w:rPr>
        <w:rFonts w:ascii="宋体" w:hAnsi="宋体"/>
        <w:sz w:val="28"/>
        <w:szCs w:val="28"/>
      </w:rPr>
    </w:pPr>
    <w:r>
      <w:rPr>
        <w:rFonts w:ascii="Times New Roman" w:hAnsi="Times New Roman" w:eastAsia="宋体" w:cs="Times New Roman"/>
        <w:kern w:val="2"/>
        <w:sz w:val="28"/>
        <w:szCs w:val="18"/>
        <w:lang w:val="en-US" w:eastAsia="zh-CN" w:bidi="ar-SA"/>
      </w:rPr>
      <w:pict>
        <v:shape id="文本框 4"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9"/>
                  <w:spacing w:line="600" w:lineRule="exac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wordWrap w:val="0"/>
      <w:spacing w:line="600" w:lineRule="exact"/>
      <w:jc w:val="right"/>
      <w:rPr>
        <w:rFonts w:ascii="宋体" w:hAnsi="宋体"/>
        <w:sz w:val="28"/>
        <w:szCs w:val="28"/>
      </w:rPr>
    </w:pPr>
    <w:r>
      <w:rPr>
        <w:rFonts w:ascii="Times New Roman" w:hAnsi="Times New Roman" w:eastAsia="宋体" w:cs="Times New Roman"/>
        <w:kern w:val="2"/>
        <w:sz w:val="28"/>
        <w:szCs w:val="18"/>
        <w:lang w:val="en-US" w:eastAsia="zh-CN" w:bidi="ar-SA"/>
      </w:rPr>
      <w:pict>
        <v:shape id="Quad Arrow 3"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9"/>
                  <w:wordWrap w:val="0"/>
                  <w:spacing w:line="600" w:lineRule="exact"/>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600" w:lineRule="exact"/>
      <w:rPr>
        <w:rFonts w:ascii="宋体" w:hAnsi="宋体"/>
        <w:sz w:val="28"/>
        <w:szCs w:val="28"/>
      </w:rPr>
    </w:pPr>
    <w:r>
      <w:rPr>
        <w:rFonts w:ascii="Times New Roman" w:hAnsi="Times New Roman" w:eastAsia="宋体" w:cs="Times New Roman"/>
        <w:kern w:val="2"/>
        <w:sz w:val="28"/>
        <w:szCs w:val="18"/>
        <w:lang w:val="en-US" w:eastAsia="zh-CN" w:bidi="ar-SA"/>
      </w:rPr>
      <w:pict>
        <v:shape id="Quad Arrow 4" o:spid="_x0000_s1028" type="#_x0000_t202" style="position:absolute;left:0;margin-top:0pt;height:144pt;width:144pt;mso-position-horizontal:outside;mso-position-horizontal-relative:margin;mso-wrap-style:none;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9"/>
                  <w:spacing w:line="600" w:lineRule="exac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 w:lineRule="atLea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dit="forms" w:enforcement="0"/>
  <w:defaultTabStop w:val="839"/>
  <w:evenAndOddHeaders w:val="1"/>
  <w:drawingGridHorizontalSpacing w:val="103"/>
  <w:drawingGridVerticalSpacing w:val="579"/>
  <w:displayHorizontalDrawingGridEvery w:val="0"/>
  <w:displayVerticalDrawingGridEvery w:val="0"/>
  <w:doNotShadeFormData w:val="1"/>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KGWebUrl" w:val="https://117.157.16.180:8999/seeyon/officeservlet"/>
  </w:docVars>
  <w:rsids>
    <w:rsidRoot w:val="16E401CC"/>
    <w:rsid w:val="000013BE"/>
    <w:rsid w:val="000015BB"/>
    <w:rsid w:val="00001AAA"/>
    <w:rsid w:val="0000228D"/>
    <w:rsid w:val="000025B9"/>
    <w:rsid w:val="000031E3"/>
    <w:rsid w:val="000039D7"/>
    <w:rsid w:val="00004BA6"/>
    <w:rsid w:val="0000547F"/>
    <w:rsid w:val="0000753A"/>
    <w:rsid w:val="00007F5D"/>
    <w:rsid w:val="00013D45"/>
    <w:rsid w:val="00013F77"/>
    <w:rsid w:val="000143B9"/>
    <w:rsid w:val="00014A01"/>
    <w:rsid w:val="000156B1"/>
    <w:rsid w:val="00024636"/>
    <w:rsid w:val="00025D4E"/>
    <w:rsid w:val="00025E39"/>
    <w:rsid w:val="000261BC"/>
    <w:rsid w:val="00030DF8"/>
    <w:rsid w:val="000316A2"/>
    <w:rsid w:val="00031A8C"/>
    <w:rsid w:val="00032E63"/>
    <w:rsid w:val="0003333D"/>
    <w:rsid w:val="00035218"/>
    <w:rsid w:val="00035913"/>
    <w:rsid w:val="00036685"/>
    <w:rsid w:val="000378F2"/>
    <w:rsid w:val="00041D75"/>
    <w:rsid w:val="000443E9"/>
    <w:rsid w:val="000444C0"/>
    <w:rsid w:val="000444D3"/>
    <w:rsid w:val="000448C7"/>
    <w:rsid w:val="00045FFF"/>
    <w:rsid w:val="00047269"/>
    <w:rsid w:val="000478C9"/>
    <w:rsid w:val="0005084D"/>
    <w:rsid w:val="000515B4"/>
    <w:rsid w:val="000523D6"/>
    <w:rsid w:val="00055005"/>
    <w:rsid w:val="0005677E"/>
    <w:rsid w:val="00057A6E"/>
    <w:rsid w:val="00057C11"/>
    <w:rsid w:val="000626FC"/>
    <w:rsid w:val="00065F90"/>
    <w:rsid w:val="00070799"/>
    <w:rsid w:val="00070876"/>
    <w:rsid w:val="00071F63"/>
    <w:rsid w:val="000725BF"/>
    <w:rsid w:val="00072852"/>
    <w:rsid w:val="0007389D"/>
    <w:rsid w:val="00073BA2"/>
    <w:rsid w:val="00073BB6"/>
    <w:rsid w:val="00073DAA"/>
    <w:rsid w:val="000751F0"/>
    <w:rsid w:val="000754F1"/>
    <w:rsid w:val="0007596E"/>
    <w:rsid w:val="00076F1B"/>
    <w:rsid w:val="000772B9"/>
    <w:rsid w:val="00077C28"/>
    <w:rsid w:val="00077E73"/>
    <w:rsid w:val="000803FC"/>
    <w:rsid w:val="000804DB"/>
    <w:rsid w:val="00080A53"/>
    <w:rsid w:val="000818F1"/>
    <w:rsid w:val="000828A4"/>
    <w:rsid w:val="00083500"/>
    <w:rsid w:val="00083B22"/>
    <w:rsid w:val="00085AF6"/>
    <w:rsid w:val="00086ABB"/>
    <w:rsid w:val="00086CEA"/>
    <w:rsid w:val="000872B4"/>
    <w:rsid w:val="00087B0A"/>
    <w:rsid w:val="00092B13"/>
    <w:rsid w:val="00092C8E"/>
    <w:rsid w:val="00095AEB"/>
    <w:rsid w:val="00095E2F"/>
    <w:rsid w:val="00096280"/>
    <w:rsid w:val="00096D86"/>
    <w:rsid w:val="00097C14"/>
    <w:rsid w:val="000A041E"/>
    <w:rsid w:val="000A15F2"/>
    <w:rsid w:val="000A195D"/>
    <w:rsid w:val="000A2F8D"/>
    <w:rsid w:val="000A3B71"/>
    <w:rsid w:val="000A4077"/>
    <w:rsid w:val="000A537D"/>
    <w:rsid w:val="000A621F"/>
    <w:rsid w:val="000A69E2"/>
    <w:rsid w:val="000A73C0"/>
    <w:rsid w:val="000A74A3"/>
    <w:rsid w:val="000A7C71"/>
    <w:rsid w:val="000A7F94"/>
    <w:rsid w:val="000B0127"/>
    <w:rsid w:val="000B096D"/>
    <w:rsid w:val="000B1051"/>
    <w:rsid w:val="000B17A4"/>
    <w:rsid w:val="000B17AA"/>
    <w:rsid w:val="000B24FB"/>
    <w:rsid w:val="000B31D0"/>
    <w:rsid w:val="000B4588"/>
    <w:rsid w:val="000B575D"/>
    <w:rsid w:val="000B5EB6"/>
    <w:rsid w:val="000B7C11"/>
    <w:rsid w:val="000C0250"/>
    <w:rsid w:val="000C052C"/>
    <w:rsid w:val="000C0B0A"/>
    <w:rsid w:val="000C3487"/>
    <w:rsid w:val="000C480F"/>
    <w:rsid w:val="000C5E42"/>
    <w:rsid w:val="000C6DEE"/>
    <w:rsid w:val="000C7FCB"/>
    <w:rsid w:val="000D0102"/>
    <w:rsid w:val="000D2AD0"/>
    <w:rsid w:val="000D2B29"/>
    <w:rsid w:val="000D2BCD"/>
    <w:rsid w:val="000D2BDA"/>
    <w:rsid w:val="000D2FC2"/>
    <w:rsid w:val="000D3F07"/>
    <w:rsid w:val="000D4503"/>
    <w:rsid w:val="000D4624"/>
    <w:rsid w:val="000D4A96"/>
    <w:rsid w:val="000D7A3F"/>
    <w:rsid w:val="000E21A6"/>
    <w:rsid w:val="000E3147"/>
    <w:rsid w:val="000E37B4"/>
    <w:rsid w:val="000E4A2D"/>
    <w:rsid w:val="000E534F"/>
    <w:rsid w:val="000E5623"/>
    <w:rsid w:val="000E573B"/>
    <w:rsid w:val="000E57B7"/>
    <w:rsid w:val="000E582C"/>
    <w:rsid w:val="000E5ADA"/>
    <w:rsid w:val="000E5B5C"/>
    <w:rsid w:val="000E636A"/>
    <w:rsid w:val="000E739E"/>
    <w:rsid w:val="000F01FA"/>
    <w:rsid w:val="000F31ED"/>
    <w:rsid w:val="000F36E4"/>
    <w:rsid w:val="000F4BC5"/>
    <w:rsid w:val="000F5B53"/>
    <w:rsid w:val="000F63BA"/>
    <w:rsid w:val="000F6778"/>
    <w:rsid w:val="000F7305"/>
    <w:rsid w:val="000F7479"/>
    <w:rsid w:val="000F7D52"/>
    <w:rsid w:val="00100075"/>
    <w:rsid w:val="001008ED"/>
    <w:rsid w:val="00100BFC"/>
    <w:rsid w:val="00100D10"/>
    <w:rsid w:val="00102DFA"/>
    <w:rsid w:val="00103213"/>
    <w:rsid w:val="0010382F"/>
    <w:rsid w:val="00103EF5"/>
    <w:rsid w:val="00104124"/>
    <w:rsid w:val="0010419B"/>
    <w:rsid w:val="00106837"/>
    <w:rsid w:val="00106B68"/>
    <w:rsid w:val="00112690"/>
    <w:rsid w:val="0011369E"/>
    <w:rsid w:val="001139AA"/>
    <w:rsid w:val="00113DD1"/>
    <w:rsid w:val="00114675"/>
    <w:rsid w:val="001162C4"/>
    <w:rsid w:val="001163DA"/>
    <w:rsid w:val="00120BF4"/>
    <w:rsid w:val="00121A47"/>
    <w:rsid w:val="00123AF4"/>
    <w:rsid w:val="00123E03"/>
    <w:rsid w:val="0012547D"/>
    <w:rsid w:val="00127850"/>
    <w:rsid w:val="00130BA5"/>
    <w:rsid w:val="00131972"/>
    <w:rsid w:val="00132EC1"/>
    <w:rsid w:val="0013335E"/>
    <w:rsid w:val="00134013"/>
    <w:rsid w:val="00134A11"/>
    <w:rsid w:val="0013797E"/>
    <w:rsid w:val="001407BA"/>
    <w:rsid w:val="0014082C"/>
    <w:rsid w:val="001419CD"/>
    <w:rsid w:val="00142CDF"/>
    <w:rsid w:val="0014487F"/>
    <w:rsid w:val="001458E8"/>
    <w:rsid w:val="00145DB0"/>
    <w:rsid w:val="00145EDC"/>
    <w:rsid w:val="00147952"/>
    <w:rsid w:val="0015360A"/>
    <w:rsid w:val="00154516"/>
    <w:rsid w:val="00155130"/>
    <w:rsid w:val="00156911"/>
    <w:rsid w:val="00157CF6"/>
    <w:rsid w:val="0016030A"/>
    <w:rsid w:val="0016218B"/>
    <w:rsid w:val="001622D2"/>
    <w:rsid w:val="00162DE6"/>
    <w:rsid w:val="001638B0"/>
    <w:rsid w:val="00166C70"/>
    <w:rsid w:val="001672DD"/>
    <w:rsid w:val="001673E0"/>
    <w:rsid w:val="00167A31"/>
    <w:rsid w:val="001702A7"/>
    <w:rsid w:val="001713FC"/>
    <w:rsid w:val="001728CC"/>
    <w:rsid w:val="00172B43"/>
    <w:rsid w:val="00174299"/>
    <w:rsid w:val="00175119"/>
    <w:rsid w:val="00175C60"/>
    <w:rsid w:val="00176532"/>
    <w:rsid w:val="00176B0C"/>
    <w:rsid w:val="00177264"/>
    <w:rsid w:val="0018088B"/>
    <w:rsid w:val="0018089B"/>
    <w:rsid w:val="001812AC"/>
    <w:rsid w:val="001813BF"/>
    <w:rsid w:val="00181749"/>
    <w:rsid w:val="00181F48"/>
    <w:rsid w:val="00182B3E"/>
    <w:rsid w:val="001843DB"/>
    <w:rsid w:val="00184ABF"/>
    <w:rsid w:val="00185E13"/>
    <w:rsid w:val="0018678E"/>
    <w:rsid w:val="00186A7B"/>
    <w:rsid w:val="00186CB4"/>
    <w:rsid w:val="00186E59"/>
    <w:rsid w:val="00186F1C"/>
    <w:rsid w:val="001874E8"/>
    <w:rsid w:val="00187F8F"/>
    <w:rsid w:val="001908CC"/>
    <w:rsid w:val="00190B0C"/>
    <w:rsid w:val="00190EA5"/>
    <w:rsid w:val="00194F5B"/>
    <w:rsid w:val="00195047"/>
    <w:rsid w:val="001957F7"/>
    <w:rsid w:val="001964DC"/>
    <w:rsid w:val="001A0C72"/>
    <w:rsid w:val="001A29B0"/>
    <w:rsid w:val="001A2DA5"/>
    <w:rsid w:val="001A4916"/>
    <w:rsid w:val="001A4B31"/>
    <w:rsid w:val="001A6307"/>
    <w:rsid w:val="001A677F"/>
    <w:rsid w:val="001A6D37"/>
    <w:rsid w:val="001A6F3E"/>
    <w:rsid w:val="001B1632"/>
    <w:rsid w:val="001B403E"/>
    <w:rsid w:val="001B5667"/>
    <w:rsid w:val="001C0287"/>
    <w:rsid w:val="001C03FE"/>
    <w:rsid w:val="001C189D"/>
    <w:rsid w:val="001C1918"/>
    <w:rsid w:val="001C2149"/>
    <w:rsid w:val="001C290A"/>
    <w:rsid w:val="001C338D"/>
    <w:rsid w:val="001C3EAF"/>
    <w:rsid w:val="001C423B"/>
    <w:rsid w:val="001C6113"/>
    <w:rsid w:val="001C627B"/>
    <w:rsid w:val="001C66B8"/>
    <w:rsid w:val="001C6EEC"/>
    <w:rsid w:val="001C6EEE"/>
    <w:rsid w:val="001C78B0"/>
    <w:rsid w:val="001C7A14"/>
    <w:rsid w:val="001D0044"/>
    <w:rsid w:val="001D09EB"/>
    <w:rsid w:val="001D2934"/>
    <w:rsid w:val="001D3A87"/>
    <w:rsid w:val="001D4302"/>
    <w:rsid w:val="001D5963"/>
    <w:rsid w:val="001D670E"/>
    <w:rsid w:val="001D6B2F"/>
    <w:rsid w:val="001D707C"/>
    <w:rsid w:val="001D71DB"/>
    <w:rsid w:val="001D7707"/>
    <w:rsid w:val="001E0ADA"/>
    <w:rsid w:val="001E0FF8"/>
    <w:rsid w:val="001E267E"/>
    <w:rsid w:val="001E27AC"/>
    <w:rsid w:val="001E32FF"/>
    <w:rsid w:val="001E3350"/>
    <w:rsid w:val="001E3492"/>
    <w:rsid w:val="001E6EB3"/>
    <w:rsid w:val="001E7BD3"/>
    <w:rsid w:val="001E7D95"/>
    <w:rsid w:val="001F21BB"/>
    <w:rsid w:val="001F3B8F"/>
    <w:rsid w:val="001F56D8"/>
    <w:rsid w:val="001F63AF"/>
    <w:rsid w:val="001F6933"/>
    <w:rsid w:val="001F6C63"/>
    <w:rsid w:val="001F786F"/>
    <w:rsid w:val="0020040B"/>
    <w:rsid w:val="00200441"/>
    <w:rsid w:val="002008E8"/>
    <w:rsid w:val="0020345E"/>
    <w:rsid w:val="002037D6"/>
    <w:rsid w:val="00203B55"/>
    <w:rsid w:val="00203F9F"/>
    <w:rsid w:val="002045C2"/>
    <w:rsid w:val="002046D1"/>
    <w:rsid w:val="00204E15"/>
    <w:rsid w:val="002050D7"/>
    <w:rsid w:val="00205956"/>
    <w:rsid w:val="002061A5"/>
    <w:rsid w:val="00206F47"/>
    <w:rsid w:val="00206F5F"/>
    <w:rsid w:val="00207425"/>
    <w:rsid w:val="0021327B"/>
    <w:rsid w:val="00213485"/>
    <w:rsid w:val="002140CB"/>
    <w:rsid w:val="00214B52"/>
    <w:rsid w:val="00214CFE"/>
    <w:rsid w:val="00216BD8"/>
    <w:rsid w:val="002200AF"/>
    <w:rsid w:val="002201EB"/>
    <w:rsid w:val="00220BA1"/>
    <w:rsid w:val="00220BCF"/>
    <w:rsid w:val="002217DF"/>
    <w:rsid w:val="002219C7"/>
    <w:rsid w:val="00221A79"/>
    <w:rsid w:val="0022200A"/>
    <w:rsid w:val="0022337A"/>
    <w:rsid w:val="00223512"/>
    <w:rsid w:val="00223A90"/>
    <w:rsid w:val="002279EC"/>
    <w:rsid w:val="002279FF"/>
    <w:rsid w:val="002304CB"/>
    <w:rsid w:val="00230FF0"/>
    <w:rsid w:val="002326A5"/>
    <w:rsid w:val="00232ED1"/>
    <w:rsid w:val="002347F7"/>
    <w:rsid w:val="002354EC"/>
    <w:rsid w:val="00235611"/>
    <w:rsid w:val="00235743"/>
    <w:rsid w:val="00236004"/>
    <w:rsid w:val="002367EF"/>
    <w:rsid w:val="002368E7"/>
    <w:rsid w:val="00242450"/>
    <w:rsid w:val="002426D7"/>
    <w:rsid w:val="002433C1"/>
    <w:rsid w:val="002445B1"/>
    <w:rsid w:val="0024574A"/>
    <w:rsid w:val="00246132"/>
    <w:rsid w:val="00246E95"/>
    <w:rsid w:val="00247997"/>
    <w:rsid w:val="00250172"/>
    <w:rsid w:val="00251126"/>
    <w:rsid w:val="00252792"/>
    <w:rsid w:val="00252C21"/>
    <w:rsid w:val="00252C50"/>
    <w:rsid w:val="00252E5C"/>
    <w:rsid w:val="00252FBC"/>
    <w:rsid w:val="00253487"/>
    <w:rsid w:val="002537D3"/>
    <w:rsid w:val="0025603D"/>
    <w:rsid w:val="00257343"/>
    <w:rsid w:val="00257DD5"/>
    <w:rsid w:val="0026061C"/>
    <w:rsid w:val="002611A4"/>
    <w:rsid w:val="00261D84"/>
    <w:rsid w:val="0026450A"/>
    <w:rsid w:val="00264C23"/>
    <w:rsid w:val="00265093"/>
    <w:rsid w:val="00265BD8"/>
    <w:rsid w:val="002660C3"/>
    <w:rsid w:val="002662D8"/>
    <w:rsid w:val="00267022"/>
    <w:rsid w:val="00267675"/>
    <w:rsid w:val="00267B5E"/>
    <w:rsid w:val="00270CB6"/>
    <w:rsid w:val="00271648"/>
    <w:rsid w:val="002718EB"/>
    <w:rsid w:val="00271F7A"/>
    <w:rsid w:val="00272ED9"/>
    <w:rsid w:val="00275DF8"/>
    <w:rsid w:val="00276810"/>
    <w:rsid w:val="00281481"/>
    <w:rsid w:val="00281B82"/>
    <w:rsid w:val="00284380"/>
    <w:rsid w:val="00284E99"/>
    <w:rsid w:val="0028519B"/>
    <w:rsid w:val="00286224"/>
    <w:rsid w:val="002862A2"/>
    <w:rsid w:val="002863CD"/>
    <w:rsid w:val="00287572"/>
    <w:rsid w:val="0028795D"/>
    <w:rsid w:val="002901C0"/>
    <w:rsid w:val="00290B25"/>
    <w:rsid w:val="00290C78"/>
    <w:rsid w:val="00292B96"/>
    <w:rsid w:val="002940D2"/>
    <w:rsid w:val="002940E6"/>
    <w:rsid w:val="00295C8E"/>
    <w:rsid w:val="00296471"/>
    <w:rsid w:val="0029798E"/>
    <w:rsid w:val="002A04F7"/>
    <w:rsid w:val="002A131A"/>
    <w:rsid w:val="002A1648"/>
    <w:rsid w:val="002A1A3B"/>
    <w:rsid w:val="002A2443"/>
    <w:rsid w:val="002A323D"/>
    <w:rsid w:val="002A3E59"/>
    <w:rsid w:val="002A497B"/>
    <w:rsid w:val="002A5A38"/>
    <w:rsid w:val="002A71FD"/>
    <w:rsid w:val="002A7948"/>
    <w:rsid w:val="002A7A34"/>
    <w:rsid w:val="002B1148"/>
    <w:rsid w:val="002B33DF"/>
    <w:rsid w:val="002B3765"/>
    <w:rsid w:val="002B5153"/>
    <w:rsid w:val="002B55AA"/>
    <w:rsid w:val="002B6B2A"/>
    <w:rsid w:val="002C187C"/>
    <w:rsid w:val="002C1F0D"/>
    <w:rsid w:val="002C32F3"/>
    <w:rsid w:val="002C3D47"/>
    <w:rsid w:val="002C5BDC"/>
    <w:rsid w:val="002C671A"/>
    <w:rsid w:val="002C7EA1"/>
    <w:rsid w:val="002D10B6"/>
    <w:rsid w:val="002D1896"/>
    <w:rsid w:val="002D1CB7"/>
    <w:rsid w:val="002D2C11"/>
    <w:rsid w:val="002D3407"/>
    <w:rsid w:val="002D3D8B"/>
    <w:rsid w:val="002D4281"/>
    <w:rsid w:val="002D4E55"/>
    <w:rsid w:val="002D7CB4"/>
    <w:rsid w:val="002D7E03"/>
    <w:rsid w:val="002E2832"/>
    <w:rsid w:val="002E381A"/>
    <w:rsid w:val="002E4156"/>
    <w:rsid w:val="002E465A"/>
    <w:rsid w:val="002E5FED"/>
    <w:rsid w:val="002E62D6"/>
    <w:rsid w:val="002F0F02"/>
    <w:rsid w:val="002F118C"/>
    <w:rsid w:val="002F485F"/>
    <w:rsid w:val="002F57D1"/>
    <w:rsid w:val="002F5844"/>
    <w:rsid w:val="002F597D"/>
    <w:rsid w:val="002F60CC"/>
    <w:rsid w:val="002F6D45"/>
    <w:rsid w:val="003012FB"/>
    <w:rsid w:val="00301A50"/>
    <w:rsid w:val="00301B94"/>
    <w:rsid w:val="00301EC6"/>
    <w:rsid w:val="0030216F"/>
    <w:rsid w:val="0030305F"/>
    <w:rsid w:val="003031AE"/>
    <w:rsid w:val="003031E4"/>
    <w:rsid w:val="00304388"/>
    <w:rsid w:val="003047E5"/>
    <w:rsid w:val="00311149"/>
    <w:rsid w:val="003113CA"/>
    <w:rsid w:val="003126A1"/>
    <w:rsid w:val="0031294D"/>
    <w:rsid w:val="00312BE4"/>
    <w:rsid w:val="00313DBB"/>
    <w:rsid w:val="003149BB"/>
    <w:rsid w:val="00315949"/>
    <w:rsid w:val="003177D9"/>
    <w:rsid w:val="00317DE5"/>
    <w:rsid w:val="00320AB8"/>
    <w:rsid w:val="00321BCC"/>
    <w:rsid w:val="0032319C"/>
    <w:rsid w:val="0032394D"/>
    <w:rsid w:val="003248A3"/>
    <w:rsid w:val="003250DC"/>
    <w:rsid w:val="0032602B"/>
    <w:rsid w:val="003272E1"/>
    <w:rsid w:val="00327FF8"/>
    <w:rsid w:val="003300B4"/>
    <w:rsid w:val="00331782"/>
    <w:rsid w:val="003327A5"/>
    <w:rsid w:val="00337D8B"/>
    <w:rsid w:val="00341896"/>
    <w:rsid w:val="00343BD1"/>
    <w:rsid w:val="00344B32"/>
    <w:rsid w:val="0034586F"/>
    <w:rsid w:val="003478C8"/>
    <w:rsid w:val="00347B25"/>
    <w:rsid w:val="0035079C"/>
    <w:rsid w:val="003516DE"/>
    <w:rsid w:val="00351745"/>
    <w:rsid w:val="00352ADF"/>
    <w:rsid w:val="00356D89"/>
    <w:rsid w:val="00357CEB"/>
    <w:rsid w:val="0036189F"/>
    <w:rsid w:val="00362116"/>
    <w:rsid w:val="003629C1"/>
    <w:rsid w:val="00362DB9"/>
    <w:rsid w:val="00363106"/>
    <w:rsid w:val="003659A8"/>
    <w:rsid w:val="00365D79"/>
    <w:rsid w:val="003667B9"/>
    <w:rsid w:val="00366F29"/>
    <w:rsid w:val="00367D6F"/>
    <w:rsid w:val="0037046F"/>
    <w:rsid w:val="0037057C"/>
    <w:rsid w:val="00370A20"/>
    <w:rsid w:val="00370ABC"/>
    <w:rsid w:val="00371C75"/>
    <w:rsid w:val="00371EEC"/>
    <w:rsid w:val="003729BE"/>
    <w:rsid w:val="0037508D"/>
    <w:rsid w:val="00375649"/>
    <w:rsid w:val="00375DA8"/>
    <w:rsid w:val="003762EE"/>
    <w:rsid w:val="003812B7"/>
    <w:rsid w:val="00381CE8"/>
    <w:rsid w:val="00382F9A"/>
    <w:rsid w:val="00385170"/>
    <w:rsid w:val="003854B2"/>
    <w:rsid w:val="00390949"/>
    <w:rsid w:val="003918BD"/>
    <w:rsid w:val="00391CF0"/>
    <w:rsid w:val="00393196"/>
    <w:rsid w:val="00393290"/>
    <w:rsid w:val="00394BB4"/>
    <w:rsid w:val="00394CFB"/>
    <w:rsid w:val="00395FB1"/>
    <w:rsid w:val="003963F5"/>
    <w:rsid w:val="0039654F"/>
    <w:rsid w:val="003A013C"/>
    <w:rsid w:val="003A1233"/>
    <w:rsid w:val="003A13E0"/>
    <w:rsid w:val="003A1C2E"/>
    <w:rsid w:val="003A20D9"/>
    <w:rsid w:val="003A31F5"/>
    <w:rsid w:val="003A3869"/>
    <w:rsid w:val="003A3FF4"/>
    <w:rsid w:val="003A480C"/>
    <w:rsid w:val="003A5496"/>
    <w:rsid w:val="003A67B8"/>
    <w:rsid w:val="003A7128"/>
    <w:rsid w:val="003A7B3D"/>
    <w:rsid w:val="003B0111"/>
    <w:rsid w:val="003B092D"/>
    <w:rsid w:val="003B150D"/>
    <w:rsid w:val="003B26B5"/>
    <w:rsid w:val="003B366A"/>
    <w:rsid w:val="003B709F"/>
    <w:rsid w:val="003B7E20"/>
    <w:rsid w:val="003C1D54"/>
    <w:rsid w:val="003C60C5"/>
    <w:rsid w:val="003C676A"/>
    <w:rsid w:val="003D1BA5"/>
    <w:rsid w:val="003D2748"/>
    <w:rsid w:val="003D2A27"/>
    <w:rsid w:val="003D3317"/>
    <w:rsid w:val="003D331A"/>
    <w:rsid w:val="003D4350"/>
    <w:rsid w:val="003D5AFF"/>
    <w:rsid w:val="003D7CA8"/>
    <w:rsid w:val="003E15D4"/>
    <w:rsid w:val="003E16E8"/>
    <w:rsid w:val="003E1AEC"/>
    <w:rsid w:val="003E1F7D"/>
    <w:rsid w:val="003E23C7"/>
    <w:rsid w:val="003E33AC"/>
    <w:rsid w:val="003E4430"/>
    <w:rsid w:val="003E7DF5"/>
    <w:rsid w:val="003F0441"/>
    <w:rsid w:val="003F08B4"/>
    <w:rsid w:val="003F2A55"/>
    <w:rsid w:val="003F5016"/>
    <w:rsid w:val="003F5BB5"/>
    <w:rsid w:val="003F6081"/>
    <w:rsid w:val="003F7A1D"/>
    <w:rsid w:val="00400667"/>
    <w:rsid w:val="00400738"/>
    <w:rsid w:val="00401877"/>
    <w:rsid w:val="004020D8"/>
    <w:rsid w:val="00402961"/>
    <w:rsid w:val="00402D2F"/>
    <w:rsid w:val="0040415A"/>
    <w:rsid w:val="00407405"/>
    <w:rsid w:val="00407683"/>
    <w:rsid w:val="004076AE"/>
    <w:rsid w:val="0040777B"/>
    <w:rsid w:val="0041068D"/>
    <w:rsid w:val="0041084E"/>
    <w:rsid w:val="00410F05"/>
    <w:rsid w:val="004130EE"/>
    <w:rsid w:val="00413263"/>
    <w:rsid w:val="004133CA"/>
    <w:rsid w:val="004141A5"/>
    <w:rsid w:val="00415AC0"/>
    <w:rsid w:val="004164E5"/>
    <w:rsid w:val="004227C9"/>
    <w:rsid w:val="004241A7"/>
    <w:rsid w:val="00427363"/>
    <w:rsid w:val="004275B4"/>
    <w:rsid w:val="004312C4"/>
    <w:rsid w:val="004323FA"/>
    <w:rsid w:val="004336B9"/>
    <w:rsid w:val="00434C88"/>
    <w:rsid w:val="00435038"/>
    <w:rsid w:val="004354C6"/>
    <w:rsid w:val="004361EE"/>
    <w:rsid w:val="00436CFE"/>
    <w:rsid w:val="00437654"/>
    <w:rsid w:val="004379E5"/>
    <w:rsid w:val="0044028D"/>
    <w:rsid w:val="00440B9E"/>
    <w:rsid w:val="004414CC"/>
    <w:rsid w:val="00441A4F"/>
    <w:rsid w:val="00441CAB"/>
    <w:rsid w:val="00441FEC"/>
    <w:rsid w:val="00442191"/>
    <w:rsid w:val="004425FB"/>
    <w:rsid w:val="00444165"/>
    <w:rsid w:val="0044436A"/>
    <w:rsid w:val="00444F30"/>
    <w:rsid w:val="004474A1"/>
    <w:rsid w:val="004503CF"/>
    <w:rsid w:val="00450C78"/>
    <w:rsid w:val="004511F4"/>
    <w:rsid w:val="00451D00"/>
    <w:rsid w:val="00453931"/>
    <w:rsid w:val="00453DBB"/>
    <w:rsid w:val="00454232"/>
    <w:rsid w:val="0045438C"/>
    <w:rsid w:val="00455013"/>
    <w:rsid w:val="004606FD"/>
    <w:rsid w:val="00461632"/>
    <w:rsid w:val="00461A8A"/>
    <w:rsid w:val="00462C9D"/>
    <w:rsid w:val="00464A6D"/>
    <w:rsid w:val="00465055"/>
    <w:rsid w:val="004650B7"/>
    <w:rsid w:val="00465593"/>
    <w:rsid w:val="00467B55"/>
    <w:rsid w:val="00470ABB"/>
    <w:rsid w:val="00472005"/>
    <w:rsid w:val="004746EA"/>
    <w:rsid w:val="00476AB1"/>
    <w:rsid w:val="0047774F"/>
    <w:rsid w:val="00477C69"/>
    <w:rsid w:val="00481E51"/>
    <w:rsid w:val="004827C5"/>
    <w:rsid w:val="004835AE"/>
    <w:rsid w:val="00483CE0"/>
    <w:rsid w:val="00484515"/>
    <w:rsid w:val="00484C98"/>
    <w:rsid w:val="004903D1"/>
    <w:rsid w:val="00490F69"/>
    <w:rsid w:val="00491D01"/>
    <w:rsid w:val="00493C64"/>
    <w:rsid w:val="0049489C"/>
    <w:rsid w:val="004A0015"/>
    <w:rsid w:val="004A0A23"/>
    <w:rsid w:val="004A2AA0"/>
    <w:rsid w:val="004A3306"/>
    <w:rsid w:val="004A33D6"/>
    <w:rsid w:val="004A3E31"/>
    <w:rsid w:val="004A4C10"/>
    <w:rsid w:val="004A4E49"/>
    <w:rsid w:val="004A5413"/>
    <w:rsid w:val="004A5506"/>
    <w:rsid w:val="004A75EE"/>
    <w:rsid w:val="004A78FB"/>
    <w:rsid w:val="004A7B52"/>
    <w:rsid w:val="004B1D2A"/>
    <w:rsid w:val="004B3C7F"/>
    <w:rsid w:val="004B3E55"/>
    <w:rsid w:val="004B4A8E"/>
    <w:rsid w:val="004B4D84"/>
    <w:rsid w:val="004B4EF2"/>
    <w:rsid w:val="004B5568"/>
    <w:rsid w:val="004B623C"/>
    <w:rsid w:val="004B71BB"/>
    <w:rsid w:val="004C015A"/>
    <w:rsid w:val="004C075D"/>
    <w:rsid w:val="004C133A"/>
    <w:rsid w:val="004C1381"/>
    <w:rsid w:val="004C272D"/>
    <w:rsid w:val="004C583D"/>
    <w:rsid w:val="004C77E8"/>
    <w:rsid w:val="004C7D2D"/>
    <w:rsid w:val="004D0700"/>
    <w:rsid w:val="004D08D2"/>
    <w:rsid w:val="004D0A19"/>
    <w:rsid w:val="004D1CCC"/>
    <w:rsid w:val="004D51AC"/>
    <w:rsid w:val="004D54C1"/>
    <w:rsid w:val="004D5D19"/>
    <w:rsid w:val="004D72F3"/>
    <w:rsid w:val="004D7610"/>
    <w:rsid w:val="004E0412"/>
    <w:rsid w:val="004E0C0E"/>
    <w:rsid w:val="004E1ED1"/>
    <w:rsid w:val="004E2306"/>
    <w:rsid w:val="004E2CBE"/>
    <w:rsid w:val="004E3CE5"/>
    <w:rsid w:val="004E44FA"/>
    <w:rsid w:val="004E4F06"/>
    <w:rsid w:val="004E5459"/>
    <w:rsid w:val="004F3440"/>
    <w:rsid w:val="004F360A"/>
    <w:rsid w:val="004F3A35"/>
    <w:rsid w:val="004F3A55"/>
    <w:rsid w:val="004F3F65"/>
    <w:rsid w:val="004F4163"/>
    <w:rsid w:val="004F4A51"/>
    <w:rsid w:val="004F539C"/>
    <w:rsid w:val="004F6C95"/>
    <w:rsid w:val="005022FC"/>
    <w:rsid w:val="00502AEA"/>
    <w:rsid w:val="005035CB"/>
    <w:rsid w:val="00505144"/>
    <w:rsid w:val="0050519C"/>
    <w:rsid w:val="00505E7E"/>
    <w:rsid w:val="00507899"/>
    <w:rsid w:val="005100F9"/>
    <w:rsid w:val="00511424"/>
    <w:rsid w:val="00511658"/>
    <w:rsid w:val="00512E48"/>
    <w:rsid w:val="00512F8A"/>
    <w:rsid w:val="00513ED7"/>
    <w:rsid w:val="0051432C"/>
    <w:rsid w:val="00515926"/>
    <w:rsid w:val="00516595"/>
    <w:rsid w:val="00520054"/>
    <w:rsid w:val="00521674"/>
    <w:rsid w:val="00521719"/>
    <w:rsid w:val="00521BF3"/>
    <w:rsid w:val="00521F31"/>
    <w:rsid w:val="00523620"/>
    <w:rsid w:val="00523643"/>
    <w:rsid w:val="00525037"/>
    <w:rsid w:val="00527729"/>
    <w:rsid w:val="00527EE9"/>
    <w:rsid w:val="005305D3"/>
    <w:rsid w:val="0053061D"/>
    <w:rsid w:val="00530705"/>
    <w:rsid w:val="005311D4"/>
    <w:rsid w:val="00531741"/>
    <w:rsid w:val="00532CE5"/>
    <w:rsid w:val="005331AC"/>
    <w:rsid w:val="00533A4B"/>
    <w:rsid w:val="00534CCE"/>
    <w:rsid w:val="00534D17"/>
    <w:rsid w:val="00534ED1"/>
    <w:rsid w:val="0053528F"/>
    <w:rsid w:val="005352A5"/>
    <w:rsid w:val="00535354"/>
    <w:rsid w:val="00536324"/>
    <w:rsid w:val="005374C2"/>
    <w:rsid w:val="00537C0D"/>
    <w:rsid w:val="00537D8C"/>
    <w:rsid w:val="00542CBC"/>
    <w:rsid w:val="0054451B"/>
    <w:rsid w:val="005447A8"/>
    <w:rsid w:val="0054508B"/>
    <w:rsid w:val="005457B5"/>
    <w:rsid w:val="00546C91"/>
    <w:rsid w:val="005470AC"/>
    <w:rsid w:val="005477A2"/>
    <w:rsid w:val="00551325"/>
    <w:rsid w:val="00551C27"/>
    <w:rsid w:val="0055228B"/>
    <w:rsid w:val="005524AC"/>
    <w:rsid w:val="00553BFA"/>
    <w:rsid w:val="0055432B"/>
    <w:rsid w:val="005558ED"/>
    <w:rsid w:val="005566B9"/>
    <w:rsid w:val="00556714"/>
    <w:rsid w:val="00557E5F"/>
    <w:rsid w:val="005608E1"/>
    <w:rsid w:val="00562189"/>
    <w:rsid w:val="00563741"/>
    <w:rsid w:val="00565726"/>
    <w:rsid w:val="00565B7A"/>
    <w:rsid w:val="005665BA"/>
    <w:rsid w:val="005667E2"/>
    <w:rsid w:val="00567483"/>
    <w:rsid w:val="00570245"/>
    <w:rsid w:val="00571FE3"/>
    <w:rsid w:val="005733DF"/>
    <w:rsid w:val="005739F4"/>
    <w:rsid w:val="00575406"/>
    <w:rsid w:val="00576734"/>
    <w:rsid w:val="00580E8A"/>
    <w:rsid w:val="0058286E"/>
    <w:rsid w:val="00582E25"/>
    <w:rsid w:val="00584141"/>
    <w:rsid w:val="00584A07"/>
    <w:rsid w:val="00584B6D"/>
    <w:rsid w:val="005861FB"/>
    <w:rsid w:val="00587524"/>
    <w:rsid w:val="005908FA"/>
    <w:rsid w:val="00591BBA"/>
    <w:rsid w:val="00591C7E"/>
    <w:rsid w:val="00593029"/>
    <w:rsid w:val="00594174"/>
    <w:rsid w:val="00594F3B"/>
    <w:rsid w:val="005960F4"/>
    <w:rsid w:val="00596CB2"/>
    <w:rsid w:val="00597842"/>
    <w:rsid w:val="005A06DF"/>
    <w:rsid w:val="005A112D"/>
    <w:rsid w:val="005A29DB"/>
    <w:rsid w:val="005A2C15"/>
    <w:rsid w:val="005A3C80"/>
    <w:rsid w:val="005A412F"/>
    <w:rsid w:val="005A5ABD"/>
    <w:rsid w:val="005A66B6"/>
    <w:rsid w:val="005A7D4B"/>
    <w:rsid w:val="005B02F9"/>
    <w:rsid w:val="005B0D67"/>
    <w:rsid w:val="005B14E8"/>
    <w:rsid w:val="005B17B8"/>
    <w:rsid w:val="005B332D"/>
    <w:rsid w:val="005B7248"/>
    <w:rsid w:val="005B7709"/>
    <w:rsid w:val="005C025D"/>
    <w:rsid w:val="005C0295"/>
    <w:rsid w:val="005C038C"/>
    <w:rsid w:val="005C0E83"/>
    <w:rsid w:val="005C2821"/>
    <w:rsid w:val="005C3BC2"/>
    <w:rsid w:val="005C3C41"/>
    <w:rsid w:val="005C4648"/>
    <w:rsid w:val="005C5610"/>
    <w:rsid w:val="005C61F2"/>
    <w:rsid w:val="005C6535"/>
    <w:rsid w:val="005C738A"/>
    <w:rsid w:val="005D026C"/>
    <w:rsid w:val="005D130D"/>
    <w:rsid w:val="005D2916"/>
    <w:rsid w:val="005D6887"/>
    <w:rsid w:val="005D68E2"/>
    <w:rsid w:val="005D6AE0"/>
    <w:rsid w:val="005D6CD9"/>
    <w:rsid w:val="005D7F07"/>
    <w:rsid w:val="005D7FA2"/>
    <w:rsid w:val="005E0E20"/>
    <w:rsid w:val="005E41B1"/>
    <w:rsid w:val="005E52C3"/>
    <w:rsid w:val="005E5C11"/>
    <w:rsid w:val="005E6D35"/>
    <w:rsid w:val="005E6F20"/>
    <w:rsid w:val="005E6F8D"/>
    <w:rsid w:val="005F0CFB"/>
    <w:rsid w:val="005F196C"/>
    <w:rsid w:val="005F2B24"/>
    <w:rsid w:val="005F3262"/>
    <w:rsid w:val="005F53FB"/>
    <w:rsid w:val="005F5FDA"/>
    <w:rsid w:val="005F6249"/>
    <w:rsid w:val="005F6FED"/>
    <w:rsid w:val="006021CA"/>
    <w:rsid w:val="006033DC"/>
    <w:rsid w:val="00603A34"/>
    <w:rsid w:val="006106B3"/>
    <w:rsid w:val="00610836"/>
    <w:rsid w:val="0061100B"/>
    <w:rsid w:val="0061126B"/>
    <w:rsid w:val="00611B06"/>
    <w:rsid w:val="00613415"/>
    <w:rsid w:val="0061360C"/>
    <w:rsid w:val="006143C6"/>
    <w:rsid w:val="00615497"/>
    <w:rsid w:val="00615C0B"/>
    <w:rsid w:val="0061689B"/>
    <w:rsid w:val="00620AE5"/>
    <w:rsid w:val="006242A8"/>
    <w:rsid w:val="00625035"/>
    <w:rsid w:val="00626A54"/>
    <w:rsid w:val="006270FA"/>
    <w:rsid w:val="00627DC9"/>
    <w:rsid w:val="00630FC5"/>
    <w:rsid w:val="006338B6"/>
    <w:rsid w:val="00633F88"/>
    <w:rsid w:val="00633FD0"/>
    <w:rsid w:val="006344D9"/>
    <w:rsid w:val="0063461B"/>
    <w:rsid w:val="00634B16"/>
    <w:rsid w:val="00634BFE"/>
    <w:rsid w:val="0063553C"/>
    <w:rsid w:val="00636BBF"/>
    <w:rsid w:val="00636EDD"/>
    <w:rsid w:val="00637609"/>
    <w:rsid w:val="00637673"/>
    <w:rsid w:val="00637F37"/>
    <w:rsid w:val="00640996"/>
    <w:rsid w:val="0064243B"/>
    <w:rsid w:val="006456F5"/>
    <w:rsid w:val="00645DD0"/>
    <w:rsid w:val="006460E7"/>
    <w:rsid w:val="0064675D"/>
    <w:rsid w:val="00646B75"/>
    <w:rsid w:val="00646D03"/>
    <w:rsid w:val="00647470"/>
    <w:rsid w:val="006475AF"/>
    <w:rsid w:val="006475D4"/>
    <w:rsid w:val="00647FBC"/>
    <w:rsid w:val="006500AB"/>
    <w:rsid w:val="006508EA"/>
    <w:rsid w:val="006518DE"/>
    <w:rsid w:val="00651A2B"/>
    <w:rsid w:val="00651BC7"/>
    <w:rsid w:val="00652306"/>
    <w:rsid w:val="0065328C"/>
    <w:rsid w:val="00654CF3"/>
    <w:rsid w:val="006553E1"/>
    <w:rsid w:val="0065542C"/>
    <w:rsid w:val="006561BF"/>
    <w:rsid w:val="00656BC7"/>
    <w:rsid w:val="00657498"/>
    <w:rsid w:val="006576F8"/>
    <w:rsid w:val="0066166E"/>
    <w:rsid w:val="00661C96"/>
    <w:rsid w:val="00661F5D"/>
    <w:rsid w:val="00662873"/>
    <w:rsid w:val="00663FA1"/>
    <w:rsid w:val="006652B1"/>
    <w:rsid w:val="0066602B"/>
    <w:rsid w:val="00666E3C"/>
    <w:rsid w:val="00667C85"/>
    <w:rsid w:val="00671BC5"/>
    <w:rsid w:val="006722FB"/>
    <w:rsid w:val="0067267A"/>
    <w:rsid w:val="00672824"/>
    <w:rsid w:val="00672F49"/>
    <w:rsid w:val="00674880"/>
    <w:rsid w:val="00675015"/>
    <w:rsid w:val="006769EE"/>
    <w:rsid w:val="00676CB4"/>
    <w:rsid w:val="00676FFC"/>
    <w:rsid w:val="006773A6"/>
    <w:rsid w:val="0068082F"/>
    <w:rsid w:val="00681956"/>
    <w:rsid w:val="00681DC2"/>
    <w:rsid w:val="0068754E"/>
    <w:rsid w:val="00691D02"/>
    <w:rsid w:val="00692332"/>
    <w:rsid w:val="006931C3"/>
    <w:rsid w:val="006934C7"/>
    <w:rsid w:val="006937E2"/>
    <w:rsid w:val="00695901"/>
    <w:rsid w:val="0069650E"/>
    <w:rsid w:val="006967BC"/>
    <w:rsid w:val="00696F76"/>
    <w:rsid w:val="006977F9"/>
    <w:rsid w:val="00697C47"/>
    <w:rsid w:val="00697DD8"/>
    <w:rsid w:val="006A0C81"/>
    <w:rsid w:val="006A38EA"/>
    <w:rsid w:val="006A42D4"/>
    <w:rsid w:val="006A4461"/>
    <w:rsid w:val="006A4E62"/>
    <w:rsid w:val="006A5BB3"/>
    <w:rsid w:val="006A7F46"/>
    <w:rsid w:val="006B18A5"/>
    <w:rsid w:val="006B24C1"/>
    <w:rsid w:val="006B2AE0"/>
    <w:rsid w:val="006B3B31"/>
    <w:rsid w:val="006B4597"/>
    <w:rsid w:val="006B45B6"/>
    <w:rsid w:val="006B7A39"/>
    <w:rsid w:val="006B7C3E"/>
    <w:rsid w:val="006B7F74"/>
    <w:rsid w:val="006C023D"/>
    <w:rsid w:val="006C185B"/>
    <w:rsid w:val="006C32FB"/>
    <w:rsid w:val="006C414D"/>
    <w:rsid w:val="006C5A96"/>
    <w:rsid w:val="006C6B07"/>
    <w:rsid w:val="006C6ED5"/>
    <w:rsid w:val="006C7B4E"/>
    <w:rsid w:val="006D062F"/>
    <w:rsid w:val="006D0692"/>
    <w:rsid w:val="006D26E6"/>
    <w:rsid w:val="006D32E4"/>
    <w:rsid w:val="006D36DA"/>
    <w:rsid w:val="006D5F89"/>
    <w:rsid w:val="006D714A"/>
    <w:rsid w:val="006D7B8E"/>
    <w:rsid w:val="006E071B"/>
    <w:rsid w:val="006E0DF9"/>
    <w:rsid w:val="006E1925"/>
    <w:rsid w:val="006E38E2"/>
    <w:rsid w:val="006E4046"/>
    <w:rsid w:val="006E41E7"/>
    <w:rsid w:val="006E4432"/>
    <w:rsid w:val="006E6B48"/>
    <w:rsid w:val="006F0615"/>
    <w:rsid w:val="006F1038"/>
    <w:rsid w:val="006F1718"/>
    <w:rsid w:val="006F35DA"/>
    <w:rsid w:val="006F4169"/>
    <w:rsid w:val="00700005"/>
    <w:rsid w:val="0070210A"/>
    <w:rsid w:val="00702308"/>
    <w:rsid w:val="00703209"/>
    <w:rsid w:val="00704880"/>
    <w:rsid w:val="0070547E"/>
    <w:rsid w:val="00705A53"/>
    <w:rsid w:val="00706F3B"/>
    <w:rsid w:val="00710EDC"/>
    <w:rsid w:val="007114DD"/>
    <w:rsid w:val="00711AF0"/>
    <w:rsid w:val="0071235B"/>
    <w:rsid w:val="00712882"/>
    <w:rsid w:val="00712DBB"/>
    <w:rsid w:val="007152AA"/>
    <w:rsid w:val="00720137"/>
    <w:rsid w:val="0072034B"/>
    <w:rsid w:val="00720571"/>
    <w:rsid w:val="00722D06"/>
    <w:rsid w:val="00723752"/>
    <w:rsid w:val="00726758"/>
    <w:rsid w:val="007267BC"/>
    <w:rsid w:val="007269AE"/>
    <w:rsid w:val="00734543"/>
    <w:rsid w:val="00734AE0"/>
    <w:rsid w:val="00735530"/>
    <w:rsid w:val="00735FE3"/>
    <w:rsid w:val="00737315"/>
    <w:rsid w:val="007377A6"/>
    <w:rsid w:val="007402DF"/>
    <w:rsid w:val="0074034D"/>
    <w:rsid w:val="00742FC7"/>
    <w:rsid w:val="00743C61"/>
    <w:rsid w:val="0074405D"/>
    <w:rsid w:val="00745967"/>
    <w:rsid w:val="00745D6E"/>
    <w:rsid w:val="0074629F"/>
    <w:rsid w:val="00747DCF"/>
    <w:rsid w:val="00747E93"/>
    <w:rsid w:val="007502A1"/>
    <w:rsid w:val="007512B3"/>
    <w:rsid w:val="0075188D"/>
    <w:rsid w:val="00752843"/>
    <w:rsid w:val="00756752"/>
    <w:rsid w:val="007572B3"/>
    <w:rsid w:val="007574F2"/>
    <w:rsid w:val="0076057D"/>
    <w:rsid w:val="007616EA"/>
    <w:rsid w:val="00762FAF"/>
    <w:rsid w:val="00764196"/>
    <w:rsid w:val="00764554"/>
    <w:rsid w:val="007645DB"/>
    <w:rsid w:val="0076562C"/>
    <w:rsid w:val="00767676"/>
    <w:rsid w:val="007679BE"/>
    <w:rsid w:val="00767FCE"/>
    <w:rsid w:val="0077135A"/>
    <w:rsid w:val="00771DDC"/>
    <w:rsid w:val="00772B4C"/>
    <w:rsid w:val="00773A62"/>
    <w:rsid w:val="00774512"/>
    <w:rsid w:val="00775DE5"/>
    <w:rsid w:val="00776F80"/>
    <w:rsid w:val="00777509"/>
    <w:rsid w:val="00777FAE"/>
    <w:rsid w:val="00780E9C"/>
    <w:rsid w:val="00783B87"/>
    <w:rsid w:val="00783BD4"/>
    <w:rsid w:val="00784BDF"/>
    <w:rsid w:val="00785AAF"/>
    <w:rsid w:val="00786A5C"/>
    <w:rsid w:val="0079071B"/>
    <w:rsid w:val="00790B1C"/>
    <w:rsid w:val="007915EE"/>
    <w:rsid w:val="00792D1E"/>
    <w:rsid w:val="00792FD6"/>
    <w:rsid w:val="007957BA"/>
    <w:rsid w:val="00795FA7"/>
    <w:rsid w:val="007978D5"/>
    <w:rsid w:val="007979AC"/>
    <w:rsid w:val="007A015C"/>
    <w:rsid w:val="007A0A79"/>
    <w:rsid w:val="007A10CB"/>
    <w:rsid w:val="007A2E7E"/>
    <w:rsid w:val="007A404C"/>
    <w:rsid w:val="007A4123"/>
    <w:rsid w:val="007A470C"/>
    <w:rsid w:val="007A65BF"/>
    <w:rsid w:val="007A69C4"/>
    <w:rsid w:val="007A6E7E"/>
    <w:rsid w:val="007B04A4"/>
    <w:rsid w:val="007B17D8"/>
    <w:rsid w:val="007B1DA8"/>
    <w:rsid w:val="007B24E2"/>
    <w:rsid w:val="007B31C1"/>
    <w:rsid w:val="007B4083"/>
    <w:rsid w:val="007B44B3"/>
    <w:rsid w:val="007B48C0"/>
    <w:rsid w:val="007B510B"/>
    <w:rsid w:val="007B532B"/>
    <w:rsid w:val="007B678F"/>
    <w:rsid w:val="007B778C"/>
    <w:rsid w:val="007C0D2B"/>
    <w:rsid w:val="007C1288"/>
    <w:rsid w:val="007C1D09"/>
    <w:rsid w:val="007C206C"/>
    <w:rsid w:val="007C2C02"/>
    <w:rsid w:val="007C3BF7"/>
    <w:rsid w:val="007C4711"/>
    <w:rsid w:val="007C51DD"/>
    <w:rsid w:val="007C5EBD"/>
    <w:rsid w:val="007C7C46"/>
    <w:rsid w:val="007D0A7F"/>
    <w:rsid w:val="007D19F8"/>
    <w:rsid w:val="007D2A98"/>
    <w:rsid w:val="007D39DA"/>
    <w:rsid w:val="007E1043"/>
    <w:rsid w:val="007E1D50"/>
    <w:rsid w:val="007E2C0B"/>
    <w:rsid w:val="007E32AB"/>
    <w:rsid w:val="007E4BB3"/>
    <w:rsid w:val="007E6A49"/>
    <w:rsid w:val="007F02F4"/>
    <w:rsid w:val="007F08B7"/>
    <w:rsid w:val="007F2618"/>
    <w:rsid w:val="007F491A"/>
    <w:rsid w:val="007F499C"/>
    <w:rsid w:val="007F5DF1"/>
    <w:rsid w:val="007F6ACE"/>
    <w:rsid w:val="007F721F"/>
    <w:rsid w:val="007F781A"/>
    <w:rsid w:val="008010C4"/>
    <w:rsid w:val="008016DB"/>
    <w:rsid w:val="008034E1"/>
    <w:rsid w:val="00806243"/>
    <w:rsid w:val="00806453"/>
    <w:rsid w:val="008115D2"/>
    <w:rsid w:val="008117C6"/>
    <w:rsid w:val="008122E2"/>
    <w:rsid w:val="00813756"/>
    <w:rsid w:val="00815F3C"/>
    <w:rsid w:val="0082035D"/>
    <w:rsid w:val="008212CE"/>
    <w:rsid w:val="00821AB1"/>
    <w:rsid w:val="008225E3"/>
    <w:rsid w:val="008230C3"/>
    <w:rsid w:val="00823CDE"/>
    <w:rsid w:val="008247CE"/>
    <w:rsid w:val="00824922"/>
    <w:rsid w:val="00825EFC"/>
    <w:rsid w:val="0082747D"/>
    <w:rsid w:val="00830998"/>
    <w:rsid w:val="00830F14"/>
    <w:rsid w:val="00831A85"/>
    <w:rsid w:val="00831B42"/>
    <w:rsid w:val="00832BFB"/>
    <w:rsid w:val="00833382"/>
    <w:rsid w:val="00833518"/>
    <w:rsid w:val="00834F5D"/>
    <w:rsid w:val="008351E7"/>
    <w:rsid w:val="00835FB6"/>
    <w:rsid w:val="00836B19"/>
    <w:rsid w:val="00836E73"/>
    <w:rsid w:val="00837951"/>
    <w:rsid w:val="00837C4C"/>
    <w:rsid w:val="00837C89"/>
    <w:rsid w:val="00841818"/>
    <w:rsid w:val="00841C93"/>
    <w:rsid w:val="00842FB6"/>
    <w:rsid w:val="00844785"/>
    <w:rsid w:val="008460A0"/>
    <w:rsid w:val="008473B2"/>
    <w:rsid w:val="008502C7"/>
    <w:rsid w:val="00850A04"/>
    <w:rsid w:val="00850B7C"/>
    <w:rsid w:val="0085165E"/>
    <w:rsid w:val="00851E87"/>
    <w:rsid w:val="0085467F"/>
    <w:rsid w:val="008557D5"/>
    <w:rsid w:val="0085766E"/>
    <w:rsid w:val="00857B1E"/>
    <w:rsid w:val="0086028F"/>
    <w:rsid w:val="00861169"/>
    <w:rsid w:val="00861288"/>
    <w:rsid w:val="00861496"/>
    <w:rsid w:val="00863284"/>
    <w:rsid w:val="008647E2"/>
    <w:rsid w:val="008667A8"/>
    <w:rsid w:val="00866F4F"/>
    <w:rsid w:val="008707DF"/>
    <w:rsid w:val="00870B83"/>
    <w:rsid w:val="00870E98"/>
    <w:rsid w:val="00872DF1"/>
    <w:rsid w:val="008735BC"/>
    <w:rsid w:val="00873CA8"/>
    <w:rsid w:val="00881771"/>
    <w:rsid w:val="008849FE"/>
    <w:rsid w:val="00884A63"/>
    <w:rsid w:val="00887679"/>
    <w:rsid w:val="00890678"/>
    <w:rsid w:val="00890831"/>
    <w:rsid w:val="00890914"/>
    <w:rsid w:val="008922A6"/>
    <w:rsid w:val="008926B7"/>
    <w:rsid w:val="00892B19"/>
    <w:rsid w:val="00892F45"/>
    <w:rsid w:val="0089341C"/>
    <w:rsid w:val="00896D86"/>
    <w:rsid w:val="008A1F61"/>
    <w:rsid w:val="008A1F6B"/>
    <w:rsid w:val="008A2695"/>
    <w:rsid w:val="008A2EF6"/>
    <w:rsid w:val="008A390E"/>
    <w:rsid w:val="008A39B0"/>
    <w:rsid w:val="008A5EAB"/>
    <w:rsid w:val="008A7121"/>
    <w:rsid w:val="008A7404"/>
    <w:rsid w:val="008A7DEE"/>
    <w:rsid w:val="008B0715"/>
    <w:rsid w:val="008B07BB"/>
    <w:rsid w:val="008B0B60"/>
    <w:rsid w:val="008B0B92"/>
    <w:rsid w:val="008B1D8B"/>
    <w:rsid w:val="008B1DC8"/>
    <w:rsid w:val="008B3354"/>
    <w:rsid w:val="008B3DAE"/>
    <w:rsid w:val="008B483E"/>
    <w:rsid w:val="008B5C84"/>
    <w:rsid w:val="008B64B7"/>
    <w:rsid w:val="008B6D1E"/>
    <w:rsid w:val="008C3049"/>
    <w:rsid w:val="008C3DF2"/>
    <w:rsid w:val="008C505D"/>
    <w:rsid w:val="008C5BBF"/>
    <w:rsid w:val="008C6539"/>
    <w:rsid w:val="008C7640"/>
    <w:rsid w:val="008C7BF6"/>
    <w:rsid w:val="008C7D74"/>
    <w:rsid w:val="008D0000"/>
    <w:rsid w:val="008D02C2"/>
    <w:rsid w:val="008D0689"/>
    <w:rsid w:val="008D0EBC"/>
    <w:rsid w:val="008D2B80"/>
    <w:rsid w:val="008D3430"/>
    <w:rsid w:val="008D47D2"/>
    <w:rsid w:val="008D6F8A"/>
    <w:rsid w:val="008E4049"/>
    <w:rsid w:val="008E5038"/>
    <w:rsid w:val="008E5CC9"/>
    <w:rsid w:val="008E668D"/>
    <w:rsid w:val="008E68A4"/>
    <w:rsid w:val="008E68C1"/>
    <w:rsid w:val="008F0645"/>
    <w:rsid w:val="008F1757"/>
    <w:rsid w:val="008F266E"/>
    <w:rsid w:val="008F4CF6"/>
    <w:rsid w:val="008F5D97"/>
    <w:rsid w:val="008F6779"/>
    <w:rsid w:val="008F6C48"/>
    <w:rsid w:val="008F7460"/>
    <w:rsid w:val="008F7FD4"/>
    <w:rsid w:val="00900099"/>
    <w:rsid w:val="009025D8"/>
    <w:rsid w:val="0090312E"/>
    <w:rsid w:val="00903A46"/>
    <w:rsid w:val="00904153"/>
    <w:rsid w:val="00904BE2"/>
    <w:rsid w:val="0090570E"/>
    <w:rsid w:val="00905F25"/>
    <w:rsid w:val="00906CB4"/>
    <w:rsid w:val="00907244"/>
    <w:rsid w:val="009075B5"/>
    <w:rsid w:val="00910C2A"/>
    <w:rsid w:val="00911F44"/>
    <w:rsid w:val="00913F3A"/>
    <w:rsid w:val="00914F72"/>
    <w:rsid w:val="00915165"/>
    <w:rsid w:val="00915BD8"/>
    <w:rsid w:val="00916A00"/>
    <w:rsid w:val="00917F3D"/>
    <w:rsid w:val="00920EA5"/>
    <w:rsid w:val="009219D1"/>
    <w:rsid w:val="00921B4C"/>
    <w:rsid w:val="009260AC"/>
    <w:rsid w:val="009263D1"/>
    <w:rsid w:val="00926FB6"/>
    <w:rsid w:val="0093028B"/>
    <w:rsid w:val="00931803"/>
    <w:rsid w:val="0093442C"/>
    <w:rsid w:val="00934FD7"/>
    <w:rsid w:val="00935130"/>
    <w:rsid w:val="00935152"/>
    <w:rsid w:val="0093531B"/>
    <w:rsid w:val="00935733"/>
    <w:rsid w:val="00935CE8"/>
    <w:rsid w:val="00936BBB"/>
    <w:rsid w:val="00937390"/>
    <w:rsid w:val="009403A3"/>
    <w:rsid w:val="0094047C"/>
    <w:rsid w:val="009404CB"/>
    <w:rsid w:val="009406B1"/>
    <w:rsid w:val="00940F20"/>
    <w:rsid w:val="00941295"/>
    <w:rsid w:val="009428B2"/>
    <w:rsid w:val="00944C12"/>
    <w:rsid w:val="009500A0"/>
    <w:rsid w:val="009505EA"/>
    <w:rsid w:val="00954080"/>
    <w:rsid w:val="0095437F"/>
    <w:rsid w:val="0095493E"/>
    <w:rsid w:val="00955DCD"/>
    <w:rsid w:val="00956003"/>
    <w:rsid w:val="0095646A"/>
    <w:rsid w:val="00956819"/>
    <w:rsid w:val="009605FB"/>
    <w:rsid w:val="00960842"/>
    <w:rsid w:val="009608FF"/>
    <w:rsid w:val="009615AE"/>
    <w:rsid w:val="00965D01"/>
    <w:rsid w:val="009668AB"/>
    <w:rsid w:val="00966DFE"/>
    <w:rsid w:val="009708DE"/>
    <w:rsid w:val="0097097F"/>
    <w:rsid w:val="00971245"/>
    <w:rsid w:val="009713D8"/>
    <w:rsid w:val="00972766"/>
    <w:rsid w:val="00972C72"/>
    <w:rsid w:val="00972F53"/>
    <w:rsid w:val="0097367A"/>
    <w:rsid w:val="009737FF"/>
    <w:rsid w:val="00973D82"/>
    <w:rsid w:val="00973F42"/>
    <w:rsid w:val="0097427F"/>
    <w:rsid w:val="0097475A"/>
    <w:rsid w:val="0097496D"/>
    <w:rsid w:val="00975164"/>
    <w:rsid w:val="009811BC"/>
    <w:rsid w:val="0098194E"/>
    <w:rsid w:val="0098237B"/>
    <w:rsid w:val="0098433C"/>
    <w:rsid w:val="009849E9"/>
    <w:rsid w:val="009857AC"/>
    <w:rsid w:val="00985E29"/>
    <w:rsid w:val="00985E6D"/>
    <w:rsid w:val="00985FAC"/>
    <w:rsid w:val="0098693B"/>
    <w:rsid w:val="009870EC"/>
    <w:rsid w:val="00987848"/>
    <w:rsid w:val="00990F21"/>
    <w:rsid w:val="00991675"/>
    <w:rsid w:val="00992631"/>
    <w:rsid w:val="00992BFB"/>
    <w:rsid w:val="00993555"/>
    <w:rsid w:val="00993E27"/>
    <w:rsid w:val="00994221"/>
    <w:rsid w:val="009948F1"/>
    <w:rsid w:val="0099672C"/>
    <w:rsid w:val="009A1C18"/>
    <w:rsid w:val="009A25CA"/>
    <w:rsid w:val="009A26F0"/>
    <w:rsid w:val="009A2A82"/>
    <w:rsid w:val="009A3482"/>
    <w:rsid w:val="009A36AD"/>
    <w:rsid w:val="009A3842"/>
    <w:rsid w:val="009A4455"/>
    <w:rsid w:val="009A5397"/>
    <w:rsid w:val="009A5530"/>
    <w:rsid w:val="009A57C5"/>
    <w:rsid w:val="009A5ED5"/>
    <w:rsid w:val="009A7F8C"/>
    <w:rsid w:val="009B0185"/>
    <w:rsid w:val="009B019B"/>
    <w:rsid w:val="009B0BDC"/>
    <w:rsid w:val="009B0C52"/>
    <w:rsid w:val="009B0C9F"/>
    <w:rsid w:val="009B1358"/>
    <w:rsid w:val="009B177D"/>
    <w:rsid w:val="009B3702"/>
    <w:rsid w:val="009B4AAB"/>
    <w:rsid w:val="009B4EAC"/>
    <w:rsid w:val="009B53B3"/>
    <w:rsid w:val="009B5B4A"/>
    <w:rsid w:val="009B5E9C"/>
    <w:rsid w:val="009B798A"/>
    <w:rsid w:val="009B7F13"/>
    <w:rsid w:val="009C1AEF"/>
    <w:rsid w:val="009C2427"/>
    <w:rsid w:val="009C5973"/>
    <w:rsid w:val="009C6E77"/>
    <w:rsid w:val="009C7FA6"/>
    <w:rsid w:val="009D04EB"/>
    <w:rsid w:val="009D0837"/>
    <w:rsid w:val="009D5613"/>
    <w:rsid w:val="009D7159"/>
    <w:rsid w:val="009E0A29"/>
    <w:rsid w:val="009E1747"/>
    <w:rsid w:val="009E1C42"/>
    <w:rsid w:val="009E2ECB"/>
    <w:rsid w:val="009E4875"/>
    <w:rsid w:val="009E6182"/>
    <w:rsid w:val="009E6543"/>
    <w:rsid w:val="009E664C"/>
    <w:rsid w:val="009E6E28"/>
    <w:rsid w:val="009E7021"/>
    <w:rsid w:val="009E77BA"/>
    <w:rsid w:val="009E7BF8"/>
    <w:rsid w:val="009F1B52"/>
    <w:rsid w:val="009F40D1"/>
    <w:rsid w:val="009F51CE"/>
    <w:rsid w:val="00A000B1"/>
    <w:rsid w:val="00A00DB9"/>
    <w:rsid w:val="00A021FD"/>
    <w:rsid w:val="00A0220D"/>
    <w:rsid w:val="00A02FAD"/>
    <w:rsid w:val="00A03FC0"/>
    <w:rsid w:val="00A04D28"/>
    <w:rsid w:val="00A05B7C"/>
    <w:rsid w:val="00A06412"/>
    <w:rsid w:val="00A06CD1"/>
    <w:rsid w:val="00A06EE1"/>
    <w:rsid w:val="00A112D6"/>
    <w:rsid w:val="00A11E94"/>
    <w:rsid w:val="00A145D2"/>
    <w:rsid w:val="00A146F0"/>
    <w:rsid w:val="00A1632A"/>
    <w:rsid w:val="00A168C8"/>
    <w:rsid w:val="00A17D29"/>
    <w:rsid w:val="00A209CF"/>
    <w:rsid w:val="00A20B0D"/>
    <w:rsid w:val="00A20BE9"/>
    <w:rsid w:val="00A21982"/>
    <w:rsid w:val="00A22822"/>
    <w:rsid w:val="00A22A90"/>
    <w:rsid w:val="00A253EB"/>
    <w:rsid w:val="00A25429"/>
    <w:rsid w:val="00A26358"/>
    <w:rsid w:val="00A26E22"/>
    <w:rsid w:val="00A271BC"/>
    <w:rsid w:val="00A30F11"/>
    <w:rsid w:val="00A32185"/>
    <w:rsid w:val="00A32546"/>
    <w:rsid w:val="00A33267"/>
    <w:rsid w:val="00A3414F"/>
    <w:rsid w:val="00A347FD"/>
    <w:rsid w:val="00A3647D"/>
    <w:rsid w:val="00A3719D"/>
    <w:rsid w:val="00A377DF"/>
    <w:rsid w:val="00A37A63"/>
    <w:rsid w:val="00A400CD"/>
    <w:rsid w:val="00A401EE"/>
    <w:rsid w:val="00A403FD"/>
    <w:rsid w:val="00A412FB"/>
    <w:rsid w:val="00A418BF"/>
    <w:rsid w:val="00A43838"/>
    <w:rsid w:val="00A43ADD"/>
    <w:rsid w:val="00A43DAA"/>
    <w:rsid w:val="00A44F77"/>
    <w:rsid w:val="00A475F4"/>
    <w:rsid w:val="00A47F88"/>
    <w:rsid w:val="00A502DA"/>
    <w:rsid w:val="00A50FFB"/>
    <w:rsid w:val="00A51C7B"/>
    <w:rsid w:val="00A52814"/>
    <w:rsid w:val="00A532F8"/>
    <w:rsid w:val="00A53376"/>
    <w:rsid w:val="00A550C9"/>
    <w:rsid w:val="00A55743"/>
    <w:rsid w:val="00A608E0"/>
    <w:rsid w:val="00A60D7B"/>
    <w:rsid w:val="00A610E4"/>
    <w:rsid w:val="00A61429"/>
    <w:rsid w:val="00A6251A"/>
    <w:rsid w:val="00A643AF"/>
    <w:rsid w:val="00A643ED"/>
    <w:rsid w:val="00A64650"/>
    <w:rsid w:val="00A6517B"/>
    <w:rsid w:val="00A66B8A"/>
    <w:rsid w:val="00A67A03"/>
    <w:rsid w:val="00A7082E"/>
    <w:rsid w:val="00A711F5"/>
    <w:rsid w:val="00A71602"/>
    <w:rsid w:val="00A71ADC"/>
    <w:rsid w:val="00A71DC6"/>
    <w:rsid w:val="00A7374E"/>
    <w:rsid w:val="00A737AC"/>
    <w:rsid w:val="00A737CC"/>
    <w:rsid w:val="00A73E47"/>
    <w:rsid w:val="00A7746F"/>
    <w:rsid w:val="00A77B9C"/>
    <w:rsid w:val="00A806C9"/>
    <w:rsid w:val="00A81876"/>
    <w:rsid w:val="00A829D2"/>
    <w:rsid w:val="00A82A2E"/>
    <w:rsid w:val="00A830F3"/>
    <w:rsid w:val="00A85448"/>
    <w:rsid w:val="00A858B3"/>
    <w:rsid w:val="00A87375"/>
    <w:rsid w:val="00A91D8C"/>
    <w:rsid w:val="00A927B6"/>
    <w:rsid w:val="00A93AD5"/>
    <w:rsid w:val="00A93F23"/>
    <w:rsid w:val="00A9457A"/>
    <w:rsid w:val="00A955DB"/>
    <w:rsid w:val="00A962CA"/>
    <w:rsid w:val="00A9759E"/>
    <w:rsid w:val="00A97EDC"/>
    <w:rsid w:val="00AA11BB"/>
    <w:rsid w:val="00AA2DDA"/>
    <w:rsid w:val="00AA3C9F"/>
    <w:rsid w:val="00AA5DF3"/>
    <w:rsid w:val="00AA6220"/>
    <w:rsid w:val="00AB0158"/>
    <w:rsid w:val="00AB1028"/>
    <w:rsid w:val="00AB18C4"/>
    <w:rsid w:val="00AB1E25"/>
    <w:rsid w:val="00AB227D"/>
    <w:rsid w:val="00AB2D2C"/>
    <w:rsid w:val="00AB61AD"/>
    <w:rsid w:val="00AB70D1"/>
    <w:rsid w:val="00AC0DB1"/>
    <w:rsid w:val="00AC344A"/>
    <w:rsid w:val="00AC3D59"/>
    <w:rsid w:val="00AC4141"/>
    <w:rsid w:val="00AC5E47"/>
    <w:rsid w:val="00AC7834"/>
    <w:rsid w:val="00AC78B0"/>
    <w:rsid w:val="00AC7A12"/>
    <w:rsid w:val="00AC7FA6"/>
    <w:rsid w:val="00AD1154"/>
    <w:rsid w:val="00AD1C7C"/>
    <w:rsid w:val="00AD600B"/>
    <w:rsid w:val="00AD6239"/>
    <w:rsid w:val="00AD68A5"/>
    <w:rsid w:val="00AD6DE5"/>
    <w:rsid w:val="00AD7B5E"/>
    <w:rsid w:val="00AE09C9"/>
    <w:rsid w:val="00AE18DB"/>
    <w:rsid w:val="00AE1E53"/>
    <w:rsid w:val="00AE24DE"/>
    <w:rsid w:val="00AE5FF7"/>
    <w:rsid w:val="00AE6D1B"/>
    <w:rsid w:val="00AE6FD2"/>
    <w:rsid w:val="00AF3183"/>
    <w:rsid w:val="00AF356A"/>
    <w:rsid w:val="00AF441C"/>
    <w:rsid w:val="00AF4933"/>
    <w:rsid w:val="00AF599B"/>
    <w:rsid w:val="00AF6F32"/>
    <w:rsid w:val="00AF769A"/>
    <w:rsid w:val="00B002AA"/>
    <w:rsid w:val="00B011B9"/>
    <w:rsid w:val="00B01F2A"/>
    <w:rsid w:val="00B0263B"/>
    <w:rsid w:val="00B04A5B"/>
    <w:rsid w:val="00B059C1"/>
    <w:rsid w:val="00B05A9D"/>
    <w:rsid w:val="00B05D2A"/>
    <w:rsid w:val="00B10737"/>
    <w:rsid w:val="00B107C3"/>
    <w:rsid w:val="00B114B4"/>
    <w:rsid w:val="00B1160D"/>
    <w:rsid w:val="00B11686"/>
    <w:rsid w:val="00B12592"/>
    <w:rsid w:val="00B1262B"/>
    <w:rsid w:val="00B1390A"/>
    <w:rsid w:val="00B13DBF"/>
    <w:rsid w:val="00B140AB"/>
    <w:rsid w:val="00B14101"/>
    <w:rsid w:val="00B15ECE"/>
    <w:rsid w:val="00B21644"/>
    <w:rsid w:val="00B23C33"/>
    <w:rsid w:val="00B25BE0"/>
    <w:rsid w:val="00B26D01"/>
    <w:rsid w:val="00B27C4E"/>
    <w:rsid w:val="00B323CC"/>
    <w:rsid w:val="00B328BC"/>
    <w:rsid w:val="00B32DB8"/>
    <w:rsid w:val="00B35615"/>
    <w:rsid w:val="00B35A79"/>
    <w:rsid w:val="00B35F23"/>
    <w:rsid w:val="00B36B6B"/>
    <w:rsid w:val="00B373E1"/>
    <w:rsid w:val="00B37EDD"/>
    <w:rsid w:val="00B4135B"/>
    <w:rsid w:val="00B42716"/>
    <w:rsid w:val="00B43B7A"/>
    <w:rsid w:val="00B445C0"/>
    <w:rsid w:val="00B446D3"/>
    <w:rsid w:val="00B45111"/>
    <w:rsid w:val="00B45486"/>
    <w:rsid w:val="00B46EFA"/>
    <w:rsid w:val="00B4790D"/>
    <w:rsid w:val="00B47EDA"/>
    <w:rsid w:val="00B51858"/>
    <w:rsid w:val="00B52B03"/>
    <w:rsid w:val="00B52D1D"/>
    <w:rsid w:val="00B53E3D"/>
    <w:rsid w:val="00B605FB"/>
    <w:rsid w:val="00B60D53"/>
    <w:rsid w:val="00B612C7"/>
    <w:rsid w:val="00B62385"/>
    <w:rsid w:val="00B637DC"/>
    <w:rsid w:val="00B6589B"/>
    <w:rsid w:val="00B67E46"/>
    <w:rsid w:val="00B70F99"/>
    <w:rsid w:val="00B752B9"/>
    <w:rsid w:val="00B75E45"/>
    <w:rsid w:val="00B7778B"/>
    <w:rsid w:val="00B82012"/>
    <w:rsid w:val="00B82F68"/>
    <w:rsid w:val="00B83273"/>
    <w:rsid w:val="00B8379A"/>
    <w:rsid w:val="00B84195"/>
    <w:rsid w:val="00B845BD"/>
    <w:rsid w:val="00B849FB"/>
    <w:rsid w:val="00B86E1E"/>
    <w:rsid w:val="00B8748C"/>
    <w:rsid w:val="00B905D6"/>
    <w:rsid w:val="00B907A7"/>
    <w:rsid w:val="00B91026"/>
    <w:rsid w:val="00B93967"/>
    <w:rsid w:val="00B93C16"/>
    <w:rsid w:val="00B93F76"/>
    <w:rsid w:val="00B94717"/>
    <w:rsid w:val="00B94933"/>
    <w:rsid w:val="00B96F1F"/>
    <w:rsid w:val="00B97C05"/>
    <w:rsid w:val="00BA1E91"/>
    <w:rsid w:val="00BA25BE"/>
    <w:rsid w:val="00BA4A57"/>
    <w:rsid w:val="00BA4C10"/>
    <w:rsid w:val="00BA50F3"/>
    <w:rsid w:val="00BB19F7"/>
    <w:rsid w:val="00BB1F19"/>
    <w:rsid w:val="00BB2E81"/>
    <w:rsid w:val="00BB303F"/>
    <w:rsid w:val="00BB3FA9"/>
    <w:rsid w:val="00BB4064"/>
    <w:rsid w:val="00BB446D"/>
    <w:rsid w:val="00BB4B2D"/>
    <w:rsid w:val="00BB52DD"/>
    <w:rsid w:val="00BB650B"/>
    <w:rsid w:val="00BC0874"/>
    <w:rsid w:val="00BC22FA"/>
    <w:rsid w:val="00BC2ABB"/>
    <w:rsid w:val="00BC2D74"/>
    <w:rsid w:val="00BC2DA6"/>
    <w:rsid w:val="00BC3347"/>
    <w:rsid w:val="00BC5075"/>
    <w:rsid w:val="00BC7948"/>
    <w:rsid w:val="00BD0D55"/>
    <w:rsid w:val="00BD1C7A"/>
    <w:rsid w:val="00BD347C"/>
    <w:rsid w:val="00BD3739"/>
    <w:rsid w:val="00BD4033"/>
    <w:rsid w:val="00BD41E9"/>
    <w:rsid w:val="00BD4811"/>
    <w:rsid w:val="00BD482D"/>
    <w:rsid w:val="00BD4C72"/>
    <w:rsid w:val="00BD59B2"/>
    <w:rsid w:val="00BD638F"/>
    <w:rsid w:val="00BD7BCB"/>
    <w:rsid w:val="00BE08ED"/>
    <w:rsid w:val="00BE2A8F"/>
    <w:rsid w:val="00BE3965"/>
    <w:rsid w:val="00BE46B4"/>
    <w:rsid w:val="00BE47FD"/>
    <w:rsid w:val="00BE646A"/>
    <w:rsid w:val="00BE7D3E"/>
    <w:rsid w:val="00BF0AB4"/>
    <w:rsid w:val="00BF120D"/>
    <w:rsid w:val="00BF1AA6"/>
    <w:rsid w:val="00BF1B55"/>
    <w:rsid w:val="00BF4E73"/>
    <w:rsid w:val="00C00080"/>
    <w:rsid w:val="00C01164"/>
    <w:rsid w:val="00C018FE"/>
    <w:rsid w:val="00C046FC"/>
    <w:rsid w:val="00C04F0D"/>
    <w:rsid w:val="00C07173"/>
    <w:rsid w:val="00C10A12"/>
    <w:rsid w:val="00C12668"/>
    <w:rsid w:val="00C12C01"/>
    <w:rsid w:val="00C12CE4"/>
    <w:rsid w:val="00C135FE"/>
    <w:rsid w:val="00C13708"/>
    <w:rsid w:val="00C13776"/>
    <w:rsid w:val="00C14272"/>
    <w:rsid w:val="00C15B3D"/>
    <w:rsid w:val="00C16807"/>
    <w:rsid w:val="00C16D6B"/>
    <w:rsid w:val="00C17669"/>
    <w:rsid w:val="00C176BD"/>
    <w:rsid w:val="00C23063"/>
    <w:rsid w:val="00C24630"/>
    <w:rsid w:val="00C249A0"/>
    <w:rsid w:val="00C2542B"/>
    <w:rsid w:val="00C2590D"/>
    <w:rsid w:val="00C27889"/>
    <w:rsid w:val="00C30ACA"/>
    <w:rsid w:val="00C33310"/>
    <w:rsid w:val="00C333B8"/>
    <w:rsid w:val="00C33C86"/>
    <w:rsid w:val="00C34305"/>
    <w:rsid w:val="00C3500F"/>
    <w:rsid w:val="00C40430"/>
    <w:rsid w:val="00C40BB5"/>
    <w:rsid w:val="00C41C5B"/>
    <w:rsid w:val="00C43210"/>
    <w:rsid w:val="00C434C7"/>
    <w:rsid w:val="00C443C2"/>
    <w:rsid w:val="00C4493D"/>
    <w:rsid w:val="00C44CED"/>
    <w:rsid w:val="00C45341"/>
    <w:rsid w:val="00C456C4"/>
    <w:rsid w:val="00C45D45"/>
    <w:rsid w:val="00C46B62"/>
    <w:rsid w:val="00C47998"/>
    <w:rsid w:val="00C506BE"/>
    <w:rsid w:val="00C5114B"/>
    <w:rsid w:val="00C51313"/>
    <w:rsid w:val="00C517F9"/>
    <w:rsid w:val="00C524CC"/>
    <w:rsid w:val="00C527BD"/>
    <w:rsid w:val="00C531D0"/>
    <w:rsid w:val="00C53389"/>
    <w:rsid w:val="00C55835"/>
    <w:rsid w:val="00C55D03"/>
    <w:rsid w:val="00C56537"/>
    <w:rsid w:val="00C574FF"/>
    <w:rsid w:val="00C62388"/>
    <w:rsid w:val="00C62DE8"/>
    <w:rsid w:val="00C63A67"/>
    <w:rsid w:val="00C64174"/>
    <w:rsid w:val="00C64B37"/>
    <w:rsid w:val="00C65880"/>
    <w:rsid w:val="00C66ED4"/>
    <w:rsid w:val="00C67064"/>
    <w:rsid w:val="00C67BAE"/>
    <w:rsid w:val="00C67C2D"/>
    <w:rsid w:val="00C70137"/>
    <w:rsid w:val="00C70A6A"/>
    <w:rsid w:val="00C7223E"/>
    <w:rsid w:val="00C727FA"/>
    <w:rsid w:val="00C72ABC"/>
    <w:rsid w:val="00C72FB3"/>
    <w:rsid w:val="00C7377A"/>
    <w:rsid w:val="00C7386B"/>
    <w:rsid w:val="00C74313"/>
    <w:rsid w:val="00C74EAB"/>
    <w:rsid w:val="00C7500D"/>
    <w:rsid w:val="00C75F62"/>
    <w:rsid w:val="00C7630B"/>
    <w:rsid w:val="00C77C2F"/>
    <w:rsid w:val="00C82956"/>
    <w:rsid w:val="00C82CF9"/>
    <w:rsid w:val="00C83FDB"/>
    <w:rsid w:val="00C87293"/>
    <w:rsid w:val="00C8792E"/>
    <w:rsid w:val="00C87C18"/>
    <w:rsid w:val="00C956BC"/>
    <w:rsid w:val="00C96A26"/>
    <w:rsid w:val="00C96E99"/>
    <w:rsid w:val="00C973A7"/>
    <w:rsid w:val="00CA20D4"/>
    <w:rsid w:val="00CA2215"/>
    <w:rsid w:val="00CA4E15"/>
    <w:rsid w:val="00CA6CAC"/>
    <w:rsid w:val="00CA6F14"/>
    <w:rsid w:val="00CB23AF"/>
    <w:rsid w:val="00CB23B6"/>
    <w:rsid w:val="00CB31E0"/>
    <w:rsid w:val="00CB4146"/>
    <w:rsid w:val="00CB4291"/>
    <w:rsid w:val="00CB64B9"/>
    <w:rsid w:val="00CB775E"/>
    <w:rsid w:val="00CC07AC"/>
    <w:rsid w:val="00CC18BA"/>
    <w:rsid w:val="00CC2E3A"/>
    <w:rsid w:val="00CC2EE3"/>
    <w:rsid w:val="00CC5E59"/>
    <w:rsid w:val="00CC6066"/>
    <w:rsid w:val="00CC759D"/>
    <w:rsid w:val="00CC7D40"/>
    <w:rsid w:val="00CD0606"/>
    <w:rsid w:val="00CD0DAE"/>
    <w:rsid w:val="00CD2521"/>
    <w:rsid w:val="00CD2B19"/>
    <w:rsid w:val="00CD3218"/>
    <w:rsid w:val="00CD3E76"/>
    <w:rsid w:val="00CD41A3"/>
    <w:rsid w:val="00CD5175"/>
    <w:rsid w:val="00CD53F3"/>
    <w:rsid w:val="00CD5BB1"/>
    <w:rsid w:val="00CD6748"/>
    <w:rsid w:val="00CD7742"/>
    <w:rsid w:val="00CE0250"/>
    <w:rsid w:val="00CE3786"/>
    <w:rsid w:val="00CE5922"/>
    <w:rsid w:val="00CE6593"/>
    <w:rsid w:val="00CE7D94"/>
    <w:rsid w:val="00CF077F"/>
    <w:rsid w:val="00CF07F3"/>
    <w:rsid w:val="00CF1D49"/>
    <w:rsid w:val="00CF2553"/>
    <w:rsid w:val="00CF2DD2"/>
    <w:rsid w:val="00CF3AAB"/>
    <w:rsid w:val="00CF4CBD"/>
    <w:rsid w:val="00CF6748"/>
    <w:rsid w:val="00CF6C8F"/>
    <w:rsid w:val="00CF7C2A"/>
    <w:rsid w:val="00D021FC"/>
    <w:rsid w:val="00D0269E"/>
    <w:rsid w:val="00D02CDE"/>
    <w:rsid w:val="00D05B11"/>
    <w:rsid w:val="00D06FA4"/>
    <w:rsid w:val="00D07DCC"/>
    <w:rsid w:val="00D10270"/>
    <w:rsid w:val="00D10C2B"/>
    <w:rsid w:val="00D10E90"/>
    <w:rsid w:val="00D11600"/>
    <w:rsid w:val="00D116CF"/>
    <w:rsid w:val="00D1270D"/>
    <w:rsid w:val="00D137A0"/>
    <w:rsid w:val="00D144FD"/>
    <w:rsid w:val="00D158DD"/>
    <w:rsid w:val="00D176D2"/>
    <w:rsid w:val="00D17CD9"/>
    <w:rsid w:val="00D2001A"/>
    <w:rsid w:val="00D2023E"/>
    <w:rsid w:val="00D218D6"/>
    <w:rsid w:val="00D2267B"/>
    <w:rsid w:val="00D2330F"/>
    <w:rsid w:val="00D2443D"/>
    <w:rsid w:val="00D2579A"/>
    <w:rsid w:val="00D25AEB"/>
    <w:rsid w:val="00D26466"/>
    <w:rsid w:val="00D26A13"/>
    <w:rsid w:val="00D273E2"/>
    <w:rsid w:val="00D27F77"/>
    <w:rsid w:val="00D311B2"/>
    <w:rsid w:val="00D316C6"/>
    <w:rsid w:val="00D32519"/>
    <w:rsid w:val="00D33EFA"/>
    <w:rsid w:val="00D34100"/>
    <w:rsid w:val="00D34423"/>
    <w:rsid w:val="00D3646B"/>
    <w:rsid w:val="00D36C22"/>
    <w:rsid w:val="00D43698"/>
    <w:rsid w:val="00D43827"/>
    <w:rsid w:val="00D4592D"/>
    <w:rsid w:val="00D46C99"/>
    <w:rsid w:val="00D47CE8"/>
    <w:rsid w:val="00D5043B"/>
    <w:rsid w:val="00D50EDE"/>
    <w:rsid w:val="00D5174B"/>
    <w:rsid w:val="00D526A5"/>
    <w:rsid w:val="00D52EBC"/>
    <w:rsid w:val="00D53369"/>
    <w:rsid w:val="00D53635"/>
    <w:rsid w:val="00D53CB2"/>
    <w:rsid w:val="00D54004"/>
    <w:rsid w:val="00D549AD"/>
    <w:rsid w:val="00D54F05"/>
    <w:rsid w:val="00D56668"/>
    <w:rsid w:val="00D56D87"/>
    <w:rsid w:val="00D609EA"/>
    <w:rsid w:val="00D60F97"/>
    <w:rsid w:val="00D618E8"/>
    <w:rsid w:val="00D6230E"/>
    <w:rsid w:val="00D62CEC"/>
    <w:rsid w:val="00D63FAC"/>
    <w:rsid w:val="00D64952"/>
    <w:rsid w:val="00D64FC6"/>
    <w:rsid w:val="00D652EC"/>
    <w:rsid w:val="00D6582C"/>
    <w:rsid w:val="00D65E49"/>
    <w:rsid w:val="00D6788D"/>
    <w:rsid w:val="00D67CD7"/>
    <w:rsid w:val="00D70DCE"/>
    <w:rsid w:val="00D716C4"/>
    <w:rsid w:val="00D71773"/>
    <w:rsid w:val="00D736CE"/>
    <w:rsid w:val="00D750E5"/>
    <w:rsid w:val="00D75AE3"/>
    <w:rsid w:val="00D76599"/>
    <w:rsid w:val="00D76C17"/>
    <w:rsid w:val="00D803C2"/>
    <w:rsid w:val="00D80680"/>
    <w:rsid w:val="00D80C14"/>
    <w:rsid w:val="00D81261"/>
    <w:rsid w:val="00D81AE0"/>
    <w:rsid w:val="00D824EC"/>
    <w:rsid w:val="00D829C0"/>
    <w:rsid w:val="00D8386D"/>
    <w:rsid w:val="00D83BF5"/>
    <w:rsid w:val="00D83C9C"/>
    <w:rsid w:val="00D843B8"/>
    <w:rsid w:val="00D86241"/>
    <w:rsid w:val="00D8696A"/>
    <w:rsid w:val="00D875C4"/>
    <w:rsid w:val="00D918BF"/>
    <w:rsid w:val="00D9584F"/>
    <w:rsid w:val="00DA2956"/>
    <w:rsid w:val="00DA37F8"/>
    <w:rsid w:val="00DA44C1"/>
    <w:rsid w:val="00DA526B"/>
    <w:rsid w:val="00DA6882"/>
    <w:rsid w:val="00DB1CA1"/>
    <w:rsid w:val="00DB2B74"/>
    <w:rsid w:val="00DB4738"/>
    <w:rsid w:val="00DB5D68"/>
    <w:rsid w:val="00DC0DEF"/>
    <w:rsid w:val="00DC1D68"/>
    <w:rsid w:val="00DC2C52"/>
    <w:rsid w:val="00DC4745"/>
    <w:rsid w:val="00DC7466"/>
    <w:rsid w:val="00DD0555"/>
    <w:rsid w:val="00DD0B7E"/>
    <w:rsid w:val="00DD1CAC"/>
    <w:rsid w:val="00DD1E69"/>
    <w:rsid w:val="00DD3964"/>
    <w:rsid w:val="00DD4A8E"/>
    <w:rsid w:val="00DD6F0E"/>
    <w:rsid w:val="00DE16D4"/>
    <w:rsid w:val="00DE2CF3"/>
    <w:rsid w:val="00DE31E5"/>
    <w:rsid w:val="00DE37A7"/>
    <w:rsid w:val="00DE3827"/>
    <w:rsid w:val="00DE43E5"/>
    <w:rsid w:val="00DE4FEC"/>
    <w:rsid w:val="00DE6B77"/>
    <w:rsid w:val="00DF1014"/>
    <w:rsid w:val="00DF229A"/>
    <w:rsid w:val="00DF2F7B"/>
    <w:rsid w:val="00DF4366"/>
    <w:rsid w:val="00DF4EB6"/>
    <w:rsid w:val="00DF6F8D"/>
    <w:rsid w:val="00DF76CC"/>
    <w:rsid w:val="00DF7EB2"/>
    <w:rsid w:val="00E015C7"/>
    <w:rsid w:val="00E015E6"/>
    <w:rsid w:val="00E028DF"/>
    <w:rsid w:val="00E04635"/>
    <w:rsid w:val="00E04CD5"/>
    <w:rsid w:val="00E0653D"/>
    <w:rsid w:val="00E118ED"/>
    <w:rsid w:val="00E131B4"/>
    <w:rsid w:val="00E1403A"/>
    <w:rsid w:val="00E144D6"/>
    <w:rsid w:val="00E146E2"/>
    <w:rsid w:val="00E156E2"/>
    <w:rsid w:val="00E16D92"/>
    <w:rsid w:val="00E20340"/>
    <w:rsid w:val="00E2136E"/>
    <w:rsid w:val="00E213F3"/>
    <w:rsid w:val="00E214D3"/>
    <w:rsid w:val="00E21B4A"/>
    <w:rsid w:val="00E22253"/>
    <w:rsid w:val="00E22C56"/>
    <w:rsid w:val="00E23514"/>
    <w:rsid w:val="00E243ED"/>
    <w:rsid w:val="00E24B8C"/>
    <w:rsid w:val="00E24FE4"/>
    <w:rsid w:val="00E26A18"/>
    <w:rsid w:val="00E27B73"/>
    <w:rsid w:val="00E318D0"/>
    <w:rsid w:val="00E32B8B"/>
    <w:rsid w:val="00E347EE"/>
    <w:rsid w:val="00E349A5"/>
    <w:rsid w:val="00E35962"/>
    <w:rsid w:val="00E36271"/>
    <w:rsid w:val="00E40544"/>
    <w:rsid w:val="00E405B5"/>
    <w:rsid w:val="00E42C79"/>
    <w:rsid w:val="00E44139"/>
    <w:rsid w:val="00E46818"/>
    <w:rsid w:val="00E476FF"/>
    <w:rsid w:val="00E5262C"/>
    <w:rsid w:val="00E52E5A"/>
    <w:rsid w:val="00E52FCC"/>
    <w:rsid w:val="00E53F70"/>
    <w:rsid w:val="00E540AC"/>
    <w:rsid w:val="00E54224"/>
    <w:rsid w:val="00E543CE"/>
    <w:rsid w:val="00E56BD2"/>
    <w:rsid w:val="00E5759F"/>
    <w:rsid w:val="00E62578"/>
    <w:rsid w:val="00E63C01"/>
    <w:rsid w:val="00E65840"/>
    <w:rsid w:val="00E66976"/>
    <w:rsid w:val="00E67A41"/>
    <w:rsid w:val="00E7029F"/>
    <w:rsid w:val="00E7063B"/>
    <w:rsid w:val="00E711BF"/>
    <w:rsid w:val="00E71A76"/>
    <w:rsid w:val="00E71ECA"/>
    <w:rsid w:val="00E73314"/>
    <w:rsid w:val="00E73756"/>
    <w:rsid w:val="00E76655"/>
    <w:rsid w:val="00E7718F"/>
    <w:rsid w:val="00E773FE"/>
    <w:rsid w:val="00E80E4B"/>
    <w:rsid w:val="00E831E5"/>
    <w:rsid w:val="00E84EEA"/>
    <w:rsid w:val="00E8552E"/>
    <w:rsid w:val="00E874C4"/>
    <w:rsid w:val="00E87B62"/>
    <w:rsid w:val="00E917FB"/>
    <w:rsid w:val="00E92896"/>
    <w:rsid w:val="00E929D5"/>
    <w:rsid w:val="00E95349"/>
    <w:rsid w:val="00E9646D"/>
    <w:rsid w:val="00E96CE3"/>
    <w:rsid w:val="00E96F04"/>
    <w:rsid w:val="00E977A7"/>
    <w:rsid w:val="00EA0A15"/>
    <w:rsid w:val="00EA25CC"/>
    <w:rsid w:val="00EA3374"/>
    <w:rsid w:val="00EA4200"/>
    <w:rsid w:val="00EA431D"/>
    <w:rsid w:val="00EA43AB"/>
    <w:rsid w:val="00EA79CA"/>
    <w:rsid w:val="00EB5365"/>
    <w:rsid w:val="00EB6683"/>
    <w:rsid w:val="00EB7F1F"/>
    <w:rsid w:val="00EC032B"/>
    <w:rsid w:val="00EC3C24"/>
    <w:rsid w:val="00EC4277"/>
    <w:rsid w:val="00EC5CA1"/>
    <w:rsid w:val="00EC68CD"/>
    <w:rsid w:val="00EC755B"/>
    <w:rsid w:val="00EC7721"/>
    <w:rsid w:val="00ED300B"/>
    <w:rsid w:val="00ED4C1E"/>
    <w:rsid w:val="00ED54F9"/>
    <w:rsid w:val="00ED62CC"/>
    <w:rsid w:val="00ED6C68"/>
    <w:rsid w:val="00ED734F"/>
    <w:rsid w:val="00ED7556"/>
    <w:rsid w:val="00EE071A"/>
    <w:rsid w:val="00EE12DE"/>
    <w:rsid w:val="00EE141F"/>
    <w:rsid w:val="00EE1928"/>
    <w:rsid w:val="00EE19E7"/>
    <w:rsid w:val="00EE1FBC"/>
    <w:rsid w:val="00EE2DB2"/>
    <w:rsid w:val="00EE3AFF"/>
    <w:rsid w:val="00EE44A2"/>
    <w:rsid w:val="00EE48BA"/>
    <w:rsid w:val="00EE535F"/>
    <w:rsid w:val="00EE5459"/>
    <w:rsid w:val="00EE563A"/>
    <w:rsid w:val="00EE592C"/>
    <w:rsid w:val="00EE5B64"/>
    <w:rsid w:val="00EE6600"/>
    <w:rsid w:val="00EE68B8"/>
    <w:rsid w:val="00EE7CD5"/>
    <w:rsid w:val="00EF0099"/>
    <w:rsid w:val="00EF047F"/>
    <w:rsid w:val="00EF119A"/>
    <w:rsid w:val="00EF13F9"/>
    <w:rsid w:val="00EF1534"/>
    <w:rsid w:val="00EF1E95"/>
    <w:rsid w:val="00EF386A"/>
    <w:rsid w:val="00EF4113"/>
    <w:rsid w:val="00EF41D6"/>
    <w:rsid w:val="00EF4209"/>
    <w:rsid w:val="00EF4F65"/>
    <w:rsid w:val="00EF54F7"/>
    <w:rsid w:val="00EF7085"/>
    <w:rsid w:val="00EF78C4"/>
    <w:rsid w:val="00F00179"/>
    <w:rsid w:val="00F0088D"/>
    <w:rsid w:val="00F019C8"/>
    <w:rsid w:val="00F0216F"/>
    <w:rsid w:val="00F035B7"/>
    <w:rsid w:val="00F039F3"/>
    <w:rsid w:val="00F04681"/>
    <w:rsid w:val="00F059F9"/>
    <w:rsid w:val="00F070E7"/>
    <w:rsid w:val="00F111AE"/>
    <w:rsid w:val="00F1193D"/>
    <w:rsid w:val="00F13E5E"/>
    <w:rsid w:val="00F15A83"/>
    <w:rsid w:val="00F17D21"/>
    <w:rsid w:val="00F20DE8"/>
    <w:rsid w:val="00F212B7"/>
    <w:rsid w:val="00F2209E"/>
    <w:rsid w:val="00F22E5B"/>
    <w:rsid w:val="00F22EAC"/>
    <w:rsid w:val="00F23E3B"/>
    <w:rsid w:val="00F24220"/>
    <w:rsid w:val="00F24CD4"/>
    <w:rsid w:val="00F24EE9"/>
    <w:rsid w:val="00F25AF9"/>
    <w:rsid w:val="00F2639F"/>
    <w:rsid w:val="00F275C9"/>
    <w:rsid w:val="00F27E53"/>
    <w:rsid w:val="00F33566"/>
    <w:rsid w:val="00F33746"/>
    <w:rsid w:val="00F33CC1"/>
    <w:rsid w:val="00F343C1"/>
    <w:rsid w:val="00F34DA4"/>
    <w:rsid w:val="00F35642"/>
    <w:rsid w:val="00F35EC8"/>
    <w:rsid w:val="00F41242"/>
    <w:rsid w:val="00F41587"/>
    <w:rsid w:val="00F41659"/>
    <w:rsid w:val="00F44FD0"/>
    <w:rsid w:val="00F45FE0"/>
    <w:rsid w:val="00F4610D"/>
    <w:rsid w:val="00F46784"/>
    <w:rsid w:val="00F46C35"/>
    <w:rsid w:val="00F46E95"/>
    <w:rsid w:val="00F47C22"/>
    <w:rsid w:val="00F507C3"/>
    <w:rsid w:val="00F51EC4"/>
    <w:rsid w:val="00F52571"/>
    <w:rsid w:val="00F5519C"/>
    <w:rsid w:val="00F56272"/>
    <w:rsid w:val="00F56465"/>
    <w:rsid w:val="00F56C58"/>
    <w:rsid w:val="00F57B1E"/>
    <w:rsid w:val="00F6059F"/>
    <w:rsid w:val="00F62091"/>
    <w:rsid w:val="00F64655"/>
    <w:rsid w:val="00F64F24"/>
    <w:rsid w:val="00F6784C"/>
    <w:rsid w:val="00F70051"/>
    <w:rsid w:val="00F713BB"/>
    <w:rsid w:val="00F716CE"/>
    <w:rsid w:val="00F71C4E"/>
    <w:rsid w:val="00F72765"/>
    <w:rsid w:val="00F72C5D"/>
    <w:rsid w:val="00F737BA"/>
    <w:rsid w:val="00F738AB"/>
    <w:rsid w:val="00F74366"/>
    <w:rsid w:val="00F746E5"/>
    <w:rsid w:val="00F74CA5"/>
    <w:rsid w:val="00F7628D"/>
    <w:rsid w:val="00F76F67"/>
    <w:rsid w:val="00F77210"/>
    <w:rsid w:val="00F772BD"/>
    <w:rsid w:val="00F77DE9"/>
    <w:rsid w:val="00F83DC0"/>
    <w:rsid w:val="00F83E54"/>
    <w:rsid w:val="00F84333"/>
    <w:rsid w:val="00F8446B"/>
    <w:rsid w:val="00F84838"/>
    <w:rsid w:val="00F8548A"/>
    <w:rsid w:val="00F85EB4"/>
    <w:rsid w:val="00F874F0"/>
    <w:rsid w:val="00F87711"/>
    <w:rsid w:val="00F87E01"/>
    <w:rsid w:val="00F90BDD"/>
    <w:rsid w:val="00F910C0"/>
    <w:rsid w:val="00F91644"/>
    <w:rsid w:val="00F93782"/>
    <w:rsid w:val="00F93B32"/>
    <w:rsid w:val="00F95143"/>
    <w:rsid w:val="00F956DC"/>
    <w:rsid w:val="00F96E81"/>
    <w:rsid w:val="00F9799A"/>
    <w:rsid w:val="00FA159E"/>
    <w:rsid w:val="00FA30E5"/>
    <w:rsid w:val="00FA37DC"/>
    <w:rsid w:val="00FA517B"/>
    <w:rsid w:val="00FA5BD9"/>
    <w:rsid w:val="00FA66C3"/>
    <w:rsid w:val="00FA797A"/>
    <w:rsid w:val="00FB141D"/>
    <w:rsid w:val="00FB14DE"/>
    <w:rsid w:val="00FB17F5"/>
    <w:rsid w:val="00FB234B"/>
    <w:rsid w:val="00FB2474"/>
    <w:rsid w:val="00FB27AC"/>
    <w:rsid w:val="00FB2D3A"/>
    <w:rsid w:val="00FB42CA"/>
    <w:rsid w:val="00FB504D"/>
    <w:rsid w:val="00FB5FEB"/>
    <w:rsid w:val="00FB7696"/>
    <w:rsid w:val="00FC1444"/>
    <w:rsid w:val="00FC3166"/>
    <w:rsid w:val="00FC37A8"/>
    <w:rsid w:val="00FC45D9"/>
    <w:rsid w:val="00FC4603"/>
    <w:rsid w:val="00FC4AD6"/>
    <w:rsid w:val="00FC6923"/>
    <w:rsid w:val="00FC6935"/>
    <w:rsid w:val="00FC6996"/>
    <w:rsid w:val="00FC7E71"/>
    <w:rsid w:val="00FD07FC"/>
    <w:rsid w:val="00FD1075"/>
    <w:rsid w:val="00FD3674"/>
    <w:rsid w:val="00FD4042"/>
    <w:rsid w:val="00FD46B5"/>
    <w:rsid w:val="00FD4B00"/>
    <w:rsid w:val="00FD5EBA"/>
    <w:rsid w:val="00FD6B8E"/>
    <w:rsid w:val="00FD722B"/>
    <w:rsid w:val="00FE01FC"/>
    <w:rsid w:val="00FE173F"/>
    <w:rsid w:val="00FE2CDF"/>
    <w:rsid w:val="00FE32EB"/>
    <w:rsid w:val="00FE39E6"/>
    <w:rsid w:val="00FE4157"/>
    <w:rsid w:val="00FE4455"/>
    <w:rsid w:val="00FE4F2F"/>
    <w:rsid w:val="00FE63F3"/>
    <w:rsid w:val="00FE74C2"/>
    <w:rsid w:val="00FF0005"/>
    <w:rsid w:val="00FF000C"/>
    <w:rsid w:val="00FF0570"/>
    <w:rsid w:val="00FF1B28"/>
    <w:rsid w:val="00FF1D9B"/>
    <w:rsid w:val="00FF2C1A"/>
    <w:rsid w:val="00FF53A7"/>
    <w:rsid w:val="00FF5870"/>
    <w:rsid w:val="00FF5A37"/>
    <w:rsid w:val="00FF5C75"/>
    <w:rsid w:val="00FF71E4"/>
    <w:rsid w:val="01856881"/>
    <w:rsid w:val="03705FB7"/>
    <w:rsid w:val="064F0082"/>
    <w:rsid w:val="068F00E1"/>
    <w:rsid w:val="080B036A"/>
    <w:rsid w:val="0CE31FAD"/>
    <w:rsid w:val="0CFE0C4C"/>
    <w:rsid w:val="12563778"/>
    <w:rsid w:val="16E401CC"/>
    <w:rsid w:val="1AB04D0D"/>
    <w:rsid w:val="1FB29A4A"/>
    <w:rsid w:val="20DA6EC9"/>
    <w:rsid w:val="22491C56"/>
    <w:rsid w:val="25E9124A"/>
    <w:rsid w:val="29907C3F"/>
    <w:rsid w:val="2B6E52E4"/>
    <w:rsid w:val="2BCB2E19"/>
    <w:rsid w:val="2BE412CA"/>
    <w:rsid w:val="2BF77F01"/>
    <w:rsid w:val="2D827D1E"/>
    <w:rsid w:val="34EC4C37"/>
    <w:rsid w:val="38A8133A"/>
    <w:rsid w:val="39DB03B0"/>
    <w:rsid w:val="3D5E0C45"/>
    <w:rsid w:val="3E8527A2"/>
    <w:rsid w:val="45094DC8"/>
    <w:rsid w:val="47A8519E"/>
    <w:rsid w:val="492905A3"/>
    <w:rsid w:val="49F8204D"/>
    <w:rsid w:val="4A015677"/>
    <w:rsid w:val="4A236EB1"/>
    <w:rsid w:val="4AD66E4B"/>
    <w:rsid w:val="4B9547DD"/>
    <w:rsid w:val="4C523DAB"/>
    <w:rsid w:val="4D726A41"/>
    <w:rsid w:val="4DAF4C6A"/>
    <w:rsid w:val="4ED24FA7"/>
    <w:rsid w:val="514F07F2"/>
    <w:rsid w:val="5D0B23A0"/>
    <w:rsid w:val="5D4D22E9"/>
    <w:rsid w:val="5E0F1B60"/>
    <w:rsid w:val="607B311C"/>
    <w:rsid w:val="613E2453"/>
    <w:rsid w:val="627D26A4"/>
    <w:rsid w:val="62BF5943"/>
    <w:rsid w:val="67B909CC"/>
    <w:rsid w:val="68192839"/>
    <w:rsid w:val="6A7172B1"/>
    <w:rsid w:val="6D717C1E"/>
    <w:rsid w:val="71FFA41C"/>
    <w:rsid w:val="759F3666"/>
    <w:rsid w:val="75DB226C"/>
    <w:rsid w:val="76C54549"/>
    <w:rsid w:val="76CD5077"/>
    <w:rsid w:val="78297EC3"/>
    <w:rsid w:val="79AC5FC4"/>
    <w:rsid w:val="7B1240D2"/>
    <w:rsid w:val="7BE216EA"/>
    <w:rsid w:val="7EE90B2B"/>
    <w:rsid w:val="7F6916AB"/>
    <w:rsid w:val="FB779EE6"/>
    <w:rsid w:val="FFAF716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4" w:beforeLines="0" w:after="104" w:afterLines="0" w:line="0" w:lineRule="atLeast"/>
      <w:ind w:firstLine="0" w:firstLineChars="0"/>
      <w:jc w:val="center"/>
      <w:outlineLvl w:val="0"/>
    </w:pPr>
    <w:rPr>
      <w:rFonts w:ascii="Arial" w:hAnsi="Arial" w:eastAsia="穝灿砰"/>
      <w:sz w:val="32"/>
    </w:rPr>
  </w:style>
  <w:style w:type="paragraph" w:styleId="3">
    <w:name w:val="heading 2"/>
    <w:basedOn w:val="1"/>
    <w:next w:val="1"/>
    <w:qFormat/>
    <w:uiPriority w:val="0"/>
    <w:pPr>
      <w:spacing w:line="0" w:lineRule="atLeast"/>
      <w:ind w:firstLine="0" w:firstLineChars="0"/>
      <w:jc w:val="center"/>
      <w:outlineLvl w:val="1"/>
    </w:pPr>
    <w:rPr>
      <w:rFonts w:ascii="Times New Roman" w:hAnsi="Times New Roman"/>
      <w:sz w:val="28"/>
    </w:rPr>
  </w:style>
  <w:style w:type="paragraph" w:styleId="4">
    <w:name w:val="heading 3"/>
    <w:basedOn w:val="1"/>
    <w:next w:val="1"/>
    <w:qFormat/>
    <w:uiPriority w:val="0"/>
    <w:pPr>
      <w:spacing w:before="104" w:beforeLines="0" w:after="104" w:afterLines="0"/>
      <w:ind w:firstLine="0" w:firstLineChars="0"/>
      <w:outlineLvl w:val="2"/>
    </w:pPr>
    <w:rPr>
      <w:rFonts w:eastAsia="穝灿砰"/>
    </w:rPr>
  </w:style>
  <w:style w:type="character" w:default="1" w:styleId="15">
    <w:name w:val="Default Paragraph Font"/>
    <w:qFormat/>
    <w:uiPriority w:val="0"/>
  </w:style>
  <w:style w:type="table" w:default="1" w:styleId="18">
    <w:name w:val="Normal Table"/>
    <w:semiHidden/>
    <w:qFormat/>
    <w:uiPriority w:val="0"/>
    <w:tblPr>
      <w:tblStyle w:val="18"/>
      <w:tblLayout w:type="fixed"/>
      <w:tblCellMar>
        <w:top w:w="0" w:type="dxa"/>
        <w:left w:w="108" w:type="dxa"/>
        <w:bottom w:w="0" w:type="dxa"/>
        <w:right w:w="108" w:type="dxa"/>
      </w:tblCellMar>
    </w:tblPr>
  </w:style>
  <w:style w:type="paragraph" w:styleId="5">
    <w:name w:val="toc 3"/>
    <w:basedOn w:val="1"/>
    <w:next w:val="1"/>
    <w:qFormat/>
    <w:uiPriority w:val="0"/>
    <w:pPr>
      <w:spacing w:line="305" w:lineRule="auto"/>
    </w:pPr>
  </w:style>
  <w:style w:type="paragraph" w:styleId="6">
    <w:name w:val="Plain Text"/>
    <w:basedOn w:val="1"/>
    <w:qFormat/>
    <w:uiPriority w:val="0"/>
    <w:pPr>
      <w:ind w:firstLine="0" w:firstLineChars="0"/>
      <w:jc w:val="both"/>
    </w:pPr>
    <w:rPr>
      <w:rFonts w:ascii="宋体" w:hAnsi="Courier New" w:eastAsia="宋体" w:cs="Courier New"/>
      <w:kern w:val="2"/>
      <w:sz w:val="21"/>
      <w:szCs w:val="21"/>
      <w:lang w:val="en-US" w:eastAsia="zh-CN"/>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31"/>
    <w:qFormat/>
    <w:uiPriority w:val="99"/>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after="104" w:afterLines="0" w:line="0" w:lineRule="atLeast"/>
      <w:ind w:firstLine="0" w:firstLineChars="0"/>
      <w:jc w:val="left"/>
    </w:pPr>
    <w:rPr>
      <w:rFonts w:ascii="Arial" w:hAnsi="Arial" w:eastAsia="穝灿砰"/>
      <w:sz w:val="28"/>
    </w:rPr>
  </w:style>
  <w:style w:type="paragraph" w:styleId="12">
    <w:name w:val="toc 4"/>
    <w:basedOn w:val="1"/>
    <w:next w:val="1"/>
    <w:qFormat/>
    <w:uiPriority w:val="0"/>
    <w:pPr>
      <w:spacing w:line="305" w:lineRule="auto"/>
      <w:ind w:firstLine="629" w:firstLineChars="0"/>
    </w:pPr>
  </w:style>
  <w:style w:type="paragraph" w:styleId="13">
    <w:name w:val="toc 2"/>
    <w:basedOn w:val="1"/>
    <w:next w:val="1"/>
    <w:qFormat/>
    <w:uiPriority w:val="0"/>
    <w:pPr>
      <w:spacing w:line="305" w:lineRule="auto"/>
      <w:ind w:firstLine="209" w:firstLineChars="0"/>
    </w:pPr>
  </w:style>
  <w:style w:type="paragraph" w:styleId="14">
    <w:name w:val="Title"/>
    <w:basedOn w:val="1"/>
    <w:qFormat/>
    <w:uiPriority w:val="0"/>
    <w:pPr>
      <w:spacing w:before="209" w:beforeLines="0" w:after="209" w:afterLines="0" w:line="0" w:lineRule="atLeast"/>
      <w:ind w:firstLine="0" w:firstLineChars="0"/>
      <w:jc w:val="center"/>
    </w:pPr>
    <w:rPr>
      <w:rFonts w:ascii="Arial" w:hAnsi="Arial" w:eastAsia="穝灿砰"/>
      <w:sz w:val="52"/>
    </w:rPr>
  </w:style>
  <w:style w:type="character" w:styleId="16">
    <w:name w:val="page number"/>
    <w:basedOn w:val="15"/>
    <w:qFormat/>
    <w:uiPriority w:val="0"/>
    <w:rPr/>
  </w:style>
  <w:style w:type="character" w:styleId="17">
    <w:name w:val="Hyperlink"/>
    <w:qFormat/>
    <w:uiPriority w:val="0"/>
    <w:rPr>
      <w:rFonts w:cs="Times New Roman"/>
      <w:color w:val="0000FF"/>
      <w:u w:val="single"/>
    </w:rPr>
  </w:style>
  <w:style w:type="table" w:styleId="19">
    <w:name w:val="Table Grid"/>
    <w:basedOn w:val="18"/>
    <w:qFormat/>
    <w:uiPriority w:val="0"/>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Char Char Char Char Char"/>
    <w:basedOn w:val="1"/>
    <w:qFormat/>
    <w:uiPriority w:val="0"/>
    <w:pPr>
      <w:tabs>
        <w:tab w:val="left" w:pos="360"/>
      </w:tabs>
    </w:pPr>
    <w:rPr>
      <w:sz w:val="24"/>
    </w:rPr>
  </w:style>
  <w:style w:type="paragraph" w:customStyle="1" w:styleId="21">
    <w:name w:val=" Char"/>
    <w:basedOn w:val="1"/>
    <w:qFormat/>
    <w:uiPriority w:val="0"/>
    <w:pPr>
      <w:tabs>
        <w:tab w:val="left" w:pos="840"/>
      </w:tabs>
      <w:ind w:left="840" w:hanging="420" w:firstLineChars="0"/>
      <w:jc w:val="both"/>
    </w:pPr>
    <w:rPr>
      <w:kern w:val="2"/>
      <w:sz w:val="24"/>
      <w:szCs w:val="32"/>
      <w:lang w:val="en-US" w:eastAsia="zh-CN"/>
    </w:rPr>
  </w:style>
  <w:style w:type="paragraph" w:customStyle="1" w:styleId="22">
    <w:name w:val="p0"/>
    <w:basedOn w:val="1"/>
    <w:qFormat/>
    <w:uiPriority w:val="0"/>
    <w:pPr>
      <w:widowControl/>
      <w:ind w:firstLine="0" w:firstLineChars="0"/>
      <w:jc w:val="both"/>
    </w:pPr>
    <w:rPr>
      <w:rFonts w:eastAsia="宋体"/>
      <w:sz w:val="21"/>
      <w:szCs w:val="21"/>
      <w:lang w:val="en-US" w:eastAsia="zh-CN"/>
    </w:rPr>
  </w:style>
  <w:style w:type="paragraph" w:customStyle="1" w:styleId="23">
    <w:name w:val="目录标题"/>
    <w:basedOn w:val="1"/>
    <w:uiPriority w:val="0"/>
    <w:pPr>
      <w:spacing w:before="209" w:beforeLines="0" w:after="209" w:afterLines="0" w:line="0" w:lineRule="atLeast"/>
      <w:jc w:val="center"/>
    </w:pPr>
    <w:rPr>
      <w:rFonts w:ascii="Arial" w:hAnsi="Arial" w:eastAsia="穝灿砰"/>
      <w:spacing w:val="209"/>
      <w:sz w:val="52"/>
    </w:rPr>
  </w:style>
  <w:style w:type="paragraph" w:customStyle="1" w:styleId="24">
    <w:name w:val=" Char Char Char Char Char Char Char Char1 Char Char Char Char Char Char Char Char Char Char Char Char Char Char Char Char"/>
    <w:basedOn w:val="1"/>
    <w:qFormat/>
    <w:uiPriority w:val="0"/>
    <w:pPr>
      <w:ind w:firstLine="0" w:firstLineChars="0"/>
      <w:jc w:val="both"/>
    </w:pPr>
    <w:rPr>
      <w:rFonts w:ascii="Tahoma" w:hAnsi="Tahoma" w:eastAsia="宋体"/>
      <w:kern w:val="2"/>
      <w:sz w:val="24"/>
      <w:lang w:val="en-US" w:eastAsia="zh-CN"/>
    </w:rPr>
  </w:style>
  <w:style w:type="paragraph" w:customStyle="1" w:styleId="25">
    <w:name w:val="WPS Plain"/>
    <w:uiPriority w:val="0"/>
    <w:rPr>
      <w:rFonts w:ascii="Times New Roman" w:hAnsi="Times New Roman" w:eastAsia="宋体" w:cs="Times New Roman"/>
      <w:lang w:val="en-US" w:eastAsia="zh-CN" w:bidi="ar-SA"/>
    </w:rPr>
  </w:style>
  <w:style w:type="paragraph" w:customStyle="1" w:styleId="26">
    <w:name w:val=" Char Char Char Char1 Char Char Char Char Char Char"/>
    <w:basedOn w:val="1"/>
    <w:uiPriority w:val="0"/>
    <w:pPr>
      <w:tabs>
        <w:tab w:val="left" w:pos="840"/>
      </w:tabs>
      <w:ind w:left="840" w:hanging="420" w:firstLineChars="0"/>
      <w:jc w:val="both"/>
    </w:pPr>
    <w:rPr>
      <w:kern w:val="2"/>
      <w:szCs w:val="32"/>
      <w:lang w:val="en-US" w:eastAsia="zh-CN"/>
    </w:rPr>
  </w:style>
  <w:style w:type="paragraph" w:customStyle="1" w:styleId="27">
    <w:name w:val=" Char Char Char Char Char Char Char"/>
    <w:basedOn w:val="1"/>
    <w:uiPriority w:val="0"/>
    <w:pPr>
      <w:widowControl/>
      <w:spacing w:after="160" w:line="240" w:lineRule="exact"/>
      <w:jc w:val="left"/>
    </w:pPr>
    <w:rPr>
      <w:rFonts w:eastAsia="仿宋_GB2312"/>
      <w:sz w:val="32"/>
      <w:szCs w:val="20"/>
    </w:rPr>
  </w:style>
  <w:style w:type="paragraph" w:customStyle="1" w:styleId="28">
    <w:name w:val="0"/>
    <w:basedOn w:val="1"/>
    <w:qFormat/>
    <w:uiPriority w:val="0"/>
    <w:pPr>
      <w:widowControl/>
      <w:snapToGrid w:val="0"/>
    </w:pPr>
    <w:rPr>
      <w:kern w:val="0"/>
      <w:sz w:val="20"/>
      <w:szCs w:val="20"/>
    </w:rPr>
  </w:style>
  <w:style w:type="paragraph" w:customStyle="1" w:styleId="29">
    <w:name w:val="文章附标题"/>
    <w:basedOn w:val="1"/>
    <w:uiPriority w:val="0"/>
    <w:pPr>
      <w:spacing w:before="104" w:beforeLines="0" w:after="104" w:afterLines="0" w:line="0" w:lineRule="atLeast"/>
      <w:ind w:firstLine="0" w:firstLineChars="0"/>
      <w:jc w:val="center"/>
    </w:pPr>
    <w:rPr>
      <w:sz w:val="36"/>
    </w:rPr>
  </w:style>
  <w:style w:type="character" w:customStyle="1" w:styleId="30">
    <w:name w:val="ca-21"/>
    <w:qFormat/>
    <w:uiPriority w:val="0"/>
    <w:rPr>
      <w:rFonts w:hint="eastAsia" w:ascii="仿宋_GB2312" w:eastAsia="仿宋_GB2312"/>
      <w:b/>
      <w:bCs/>
      <w:color w:val="000000"/>
      <w:spacing w:val="-20"/>
      <w:sz w:val="32"/>
      <w:szCs w:val="32"/>
    </w:rPr>
  </w:style>
  <w:style w:type="character" w:customStyle="1" w:styleId="31">
    <w:name w:val="页脚 Char"/>
    <w:link w:val="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t\kingsoft\wps-office\office6\\\opt\kingsoft\wps-office\office6\F:\mb\fileMode.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Info spid="_x0000_s1026"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版心格式.dot</Template>
  <Company>Microsoft</Company>
  <Pages>2</Pages>
  <Words>21</Words>
  <Characters>120</Characters>
  <Lines>1</Lines>
  <Paragraphs>1</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2017-06-18T12:00:00Z</dcterms:created>
  <dc:creator>微软用户</dc:creator>
  <cp:lastModifiedBy>高凤</cp:lastModifiedBy>
  <cp:lastPrinted>2017-03-28T16:24:00Z</cp:lastPrinted>
  <dcterms:modified xsi:type="dcterms:W3CDTF">2026-04-17T03:19:25Z</dcterms:modified>
  <dc:title>政府工作报告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EAAB2314C59742CCB4DB6EFD7FC2A03D</vt:lpwstr>
  </property>
</Properties>
</file>