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F5401" w14:textId="77777777" w:rsidR="00226E0A" w:rsidRPr="00241748" w:rsidRDefault="009F507D" w:rsidP="00241748">
      <w:pPr>
        <w:snapToGrid w:val="0"/>
        <w:spacing w:line="580" w:lineRule="exact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24174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附件</w:t>
      </w:r>
      <w:r w:rsidRPr="0024174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5</w:t>
      </w:r>
    </w:p>
    <w:p w14:paraId="76C46754" w14:textId="77777777" w:rsidR="00241748" w:rsidRPr="00241748" w:rsidRDefault="00241748" w:rsidP="00241748">
      <w:pPr>
        <w:snapToGrid w:val="0"/>
        <w:spacing w:line="580" w:lineRule="exact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</w:p>
    <w:p w14:paraId="484FBB79" w14:textId="77777777" w:rsidR="00226E0A" w:rsidRPr="00241748" w:rsidRDefault="009F507D" w:rsidP="00241748">
      <w:pPr>
        <w:snapToGrid w:val="0"/>
        <w:spacing w:line="580" w:lineRule="exact"/>
        <w:jc w:val="center"/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</w:pPr>
      <w:r w:rsidRPr="00241748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2026</w:t>
      </w:r>
      <w:r w:rsidRPr="00241748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年度</w:t>
      </w:r>
      <w:r w:rsidRPr="00241748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重庆市</w:t>
      </w:r>
      <w:r w:rsidRPr="00241748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医疗器械生产</w:t>
      </w:r>
    </w:p>
    <w:p w14:paraId="040818E6" w14:textId="77777777" w:rsidR="00226E0A" w:rsidRPr="00241748" w:rsidRDefault="009F507D" w:rsidP="00241748">
      <w:pPr>
        <w:snapToGrid w:val="0"/>
        <w:spacing w:line="580" w:lineRule="exact"/>
        <w:jc w:val="center"/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</w:pPr>
      <w:r w:rsidRPr="00241748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日常</w:t>
      </w:r>
      <w:r w:rsidRPr="00241748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检查计划</w:t>
      </w:r>
    </w:p>
    <w:p w14:paraId="251CB2B0" w14:textId="77777777" w:rsidR="00226E0A" w:rsidRPr="00241748" w:rsidRDefault="00226E0A" w:rsidP="00241748">
      <w:pPr>
        <w:rPr>
          <w:rFonts w:ascii="Times New Roman" w:eastAsia="方正小标宋_GBK" w:hAnsi="Times New Roman" w:cs="方正小标宋_GBK"/>
          <w:snapToGrid w:val="0"/>
          <w:kern w:val="0"/>
          <w:sz w:val="44"/>
          <w:szCs w:val="44"/>
        </w:rPr>
      </w:pPr>
    </w:p>
    <w:p w14:paraId="6F6EB7F2" w14:textId="77777777" w:rsidR="00226E0A" w:rsidRPr="00241748" w:rsidRDefault="009F507D" w:rsidP="0024174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按照法律法规和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市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局工作要求，结合监管工作实际，制定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2026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年度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重庆市医疗器械生产日常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检查计划。</w:t>
      </w:r>
    </w:p>
    <w:p w14:paraId="7735650D" w14:textId="77777777" w:rsidR="00226E0A" w:rsidRPr="00241748" w:rsidRDefault="009F507D" w:rsidP="00241748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24174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一</w:t>
      </w:r>
      <w:r w:rsidRPr="0024174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、检查主体</w:t>
      </w:r>
    </w:p>
    <w:p w14:paraId="5331B714" w14:textId="77777777" w:rsidR="00226E0A" w:rsidRPr="00241748" w:rsidRDefault="009F507D" w:rsidP="0024174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重庆市药品监督管理局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/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区县级药品监管部门</w:t>
      </w:r>
    </w:p>
    <w:p w14:paraId="3582E709" w14:textId="77777777" w:rsidR="00226E0A" w:rsidRPr="00241748" w:rsidRDefault="009F507D" w:rsidP="00241748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24174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二</w:t>
      </w:r>
      <w:r w:rsidRPr="0024174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、检查依据</w:t>
      </w:r>
    </w:p>
    <w:p w14:paraId="43B086FB" w14:textId="77777777" w:rsidR="00226E0A" w:rsidRPr="00241748" w:rsidRDefault="009F507D" w:rsidP="0024174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依据《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医疗器械监督管理条例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》《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医疗器械生产监督管理办法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》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《重庆市医疗器械生产分级监管实施细则（试行）》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。</w:t>
      </w:r>
    </w:p>
    <w:p w14:paraId="7115BEC1" w14:textId="77777777" w:rsidR="00226E0A" w:rsidRPr="00241748" w:rsidRDefault="009F507D" w:rsidP="00241748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24174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三</w:t>
      </w:r>
      <w:r w:rsidRPr="0024174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、</w:t>
      </w:r>
      <w:r w:rsidRPr="0024174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检查方式</w:t>
      </w:r>
    </w:p>
    <w:p w14:paraId="0DA5D159" w14:textId="77777777" w:rsidR="00226E0A" w:rsidRPr="00241748" w:rsidRDefault="009F507D" w:rsidP="0024174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现场检查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/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非现场检查</w:t>
      </w:r>
    </w:p>
    <w:p w14:paraId="2CBA6F76" w14:textId="77777777" w:rsidR="00226E0A" w:rsidRPr="00241748" w:rsidRDefault="009F507D" w:rsidP="00241748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24174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四</w:t>
      </w:r>
      <w:r w:rsidRPr="0024174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、</w:t>
      </w:r>
      <w:r w:rsidRPr="0024174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检查事项</w:t>
      </w:r>
    </w:p>
    <w:p w14:paraId="0E3F872D" w14:textId="77777777" w:rsidR="00226E0A" w:rsidRPr="00241748" w:rsidRDefault="009F507D" w:rsidP="0024174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（一）</w:t>
      </w:r>
      <w:r w:rsidRPr="00241748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对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医疗器械注册人备案人的</w:t>
      </w:r>
      <w:r w:rsidRPr="00241748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检查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；</w:t>
      </w:r>
    </w:p>
    <w:p w14:paraId="167DEA44" w14:textId="77777777" w:rsidR="00226E0A" w:rsidRPr="00241748" w:rsidRDefault="009F507D" w:rsidP="0024174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（二）对医疗器械生产企业的检查；</w:t>
      </w:r>
    </w:p>
    <w:p w14:paraId="14D53037" w14:textId="77777777" w:rsidR="00226E0A" w:rsidRPr="00241748" w:rsidRDefault="009F507D" w:rsidP="0024174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（三）对医疗器械进口代理人的检查。</w:t>
      </w:r>
    </w:p>
    <w:p w14:paraId="493FE8D2" w14:textId="77777777" w:rsidR="00226E0A" w:rsidRPr="00241748" w:rsidRDefault="009F507D" w:rsidP="00241748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24174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五、</w:t>
      </w:r>
      <w:r w:rsidRPr="0024174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检查对象及频次</w:t>
      </w:r>
    </w:p>
    <w:p w14:paraId="15D5E8E4" w14:textId="77777777" w:rsidR="00226E0A" w:rsidRPr="00241748" w:rsidRDefault="009F507D" w:rsidP="0024174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（一）对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实施四级监管的企业，每年开展一次全项目检查；</w:t>
      </w:r>
    </w:p>
    <w:p w14:paraId="1EB0F6D5" w14:textId="77777777" w:rsidR="00226E0A" w:rsidRPr="00241748" w:rsidRDefault="009F507D" w:rsidP="0024174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（二）对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实施三级监管的企业，每年开展一次检查，其中每两年全项目检查不少于</w:t>
      </w:r>
      <w:bookmarkStart w:id="0" w:name="_GoBack"/>
      <w:bookmarkEnd w:id="0"/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一次；</w:t>
      </w:r>
    </w:p>
    <w:p w14:paraId="786BFB59" w14:textId="77777777" w:rsidR="00226E0A" w:rsidRPr="00241748" w:rsidRDefault="009F507D" w:rsidP="0024174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lastRenderedPageBreak/>
        <w:t>（三）对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实施二级监管的企业，每两年开展检查一次；</w:t>
      </w:r>
    </w:p>
    <w:p w14:paraId="037B0075" w14:textId="77777777" w:rsidR="00226E0A" w:rsidRPr="00241748" w:rsidRDefault="009F507D" w:rsidP="0024174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（四）对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实施一级监管的企业，每年随机抽取本管辖区域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25%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以上的企业开展检查，并对新增的第一类医疗器械生产企业在生产备案之日起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3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个月内开展现场检查；</w:t>
      </w:r>
    </w:p>
    <w:p w14:paraId="3D4105F7" w14:textId="77777777" w:rsidR="00226E0A" w:rsidRPr="00241748" w:rsidRDefault="009F507D" w:rsidP="0024174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许可检查、有因检查、整改复核、抽样检验、投诉举报、稽查办案、上级交办、上级工作文件要求、抽检不合格、召回、外省市协查互查、其他机关移送线索等工作中涉及的监督检查，根据监管实际开展，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不列入年度检查计划范围。法律法规规章有特殊规定的，从其规定。</w:t>
      </w:r>
      <w:r w:rsidRPr="00241748">
        <w:rPr>
          <w:rFonts w:ascii="MS Mincho" w:eastAsia="MS Mincho" w:hAnsi="MS Mincho" w:cs="MS Mincho" w:hint="eastAsia"/>
          <w:snapToGrid w:val="0"/>
          <w:kern w:val="0"/>
          <w:sz w:val="32"/>
          <w:szCs w:val="32"/>
        </w:rPr>
        <w:t> </w:t>
      </w:r>
    </w:p>
    <w:p w14:paraId="68ED76A1" w14:textId="77777777" w:rsidR="00226E0A" w:rsidRPr="00241748" w:rsidRDefault="009F507D" w:rsidP="00241748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24174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六</w:t>
      </w:r>
      <w:r w:rsidRPr="0024174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、工作要求</w:t>
      </w:r>
    </w:p>
    <w:p w14:paraId="77ED9EA7" w14:textId="77777777" w:rsidR="00226E0A" w:rsidRPr="00241748" w:rsidRDefault="009F507D" w:rsidP="0024174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1.</w:t>
      </w:r>
      <w:r w:rsidRPr="00241748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在不影响申请事项、服务事项办理进度的前提下，常规检查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可以和</w:t>
      </w:r>
      <w:r w:rsidRPr="00241748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许可检查、其他检查同步开展。</w:t>
      </w:r>
    </w:p>
    <w:p w14:paraId="1DFD08E5" w14:textId="77777777" w:rsidR="00226E0A" w:rsidRPr="00241748" w:rsidRDefault="009F507D" w:rsidP="0024174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2.</w:t>
      </w:r>
      <w:r w:rsidRPr="00241748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在不影响线索查办进度的前提下，常规检查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可以和</w:t>
      </w:r>
      <w:r w:rsidRPr="00241748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有因检查同步开展。</w:t>
      </w:r>
    </w:p>
    <w:p w14:paraId="2BEF6A5E" w14:textId="5FDAAB84" w:rsidR="00226E0A" w:rsidRPr="00241748" w:rsidRDefault="009F507D" w:rsidP="0024174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3.</w:t>
      </w:r>
      <w:r w:rsidRPr="00241748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常规检查和</w:t>
      </w:r>
      <w:r w:rsidRPr="0024174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抽检任务</w:t>
      </w:r>
      <w:r w:rsidRPr="00241748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合并开展。</w:t>
      </w:r>
    </w:p>
    <w:sectPr w:rsidR="00226E0A" w:rsidRPr="00241748" w:rsidSect="00241748">
      <w:footerReference w:type="even" r:id="rId7"/>
      <w:footerReference w:type="default" r:id="rId8"/>
      <w:pgSz w:w="11906" w:h="16838" w:code="9"/>
      <w:pgMar w:top="2098" w:right="1531" w:bottom="1985" w:left="1531" w:header="851" w:footer="1474" w:gutter="0"/>
      <w:cols w:space="425"/>
      <w:docGrid w:type="linesAndChar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F3B10" w14:textId="77777777" w:rsidR="009F507D" w:rsidRDefault="009F507D" w:rsidP="00241748">
      <w:r>
        <w:separator/>
      </w:r>
    </w:p>
  </w:endnote>
  <w:endnote w:type="continuationSeparator" w:id="0">
    <w:p w14:paraId="2107859B" w14:textId="77777777" w:rsidR="009F507D" w:rsidRDefault="009F507D" w:rsidP="002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12293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41B48611" w14:textId="6CBA924F" w:rsidR="00241748" w:rsidRPr="00241748" w:rsidRDefault="00241748">
        <w:pPr>
          <w:pStyle w:val="a5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241748">
          <w:rPr>
            <w:rFonts w:asciiTheme="minorEastAsia" w:hAnsiTheme="minorEastAsia"/>
            <w:sz w:val="28"/>
            <w:szCs w:val="28"/>
          </w:rPr>
          <w:fldChar w:fldCharType="begin"/>
        </w:r>
        <w:r w:rsidRPr="0024174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41748">
          <w:rPr>
            <w:rFonts w:asciiTheme="minorEastAsia" w:hAnsiTheme="minorEastAsia"/>
            <w:sz w:val="28"/>
            <w:szCs w:val="28"/>
          </w:rPr>
          <w:fldChar w:fldCharType="separate"/>
        </w:r>
        <w:r w:rsidRPr="00241748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241748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73730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43EDFFB2" w14:textId="070AF8A2" w:rsidR="00241748" w:rsidRPr="00241748" w:rsidRDefault="00241748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241748">
          <w:rPr>
            <w:rFonts w:asciiTheme="minorEastAsia" w:hAnsiTheme="minorEastAsia"/>
            <w:sz w:val="28"/>
            <w:szCs w:val="28"/>
          </w:rPr>
          <w:fldChar w:fldCharType="begin"/>
        </w:r>
        <w:r w:rsidRPr="0024174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41748">
          <w:rPr>
            <w:rFonts w:asciiTheme="minorEastAsia" w:hAnsiTheme="minorEastAsia"/>
            <w:sz w:val="28"/>
            <w:szCs w:val="28"/>
          </w:rPr>
          <w:fldChar w:fldCharType="separate"/>
        </w:r>
        <w:r w:rsidR="009F507D" w:rsidRPr="009F507D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241748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55C6E" w14:textId="77777777" w:rsidR="009F507D" w:rsidRDefault="009F507D" w:rsidP="00241748">
      <w:r>
        <w:separator/>
      </w:r>
    </w:p>
  </w:footnote>
  <w:footnote w:type="continuationSeparator" w:id="0">
    <w:p w14:paraId="6DE64BC2" w14:textId="77777777" w:rsidR="009F507D" w:rsidRDefault="009F507D" w:rsidP="00241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A5B20"/>
    <w:rsid w:val="DFFD8465"/>
    <w:rsid w:val="00226E0A"/>
    <w:rsid w:val="00241748"/>
    <w:rsid w:val="009F507D"/>
    <w:rsid w:val="06A50B76"/>
    <w:rsid w:val="0B024724"/>
    <w:rsid w:val="0B034ED6"/>
    <w:rsid w:val="1F570348"/>
    <w:rsid w:val="1F87549D"/>
    <w:rsid w:val="25916027"/>
    <w:rsid w:val="30673A7F"/>
    <w:rsid w:val="366F00C6"/>
    <w:rsid w:val="36712A9F"/>
    <w:rsid w:val="3C2404C5"/>
    <w:rsid w:val="3DE167C8"/>
    <w:rsid w:val="3DE74F30"/>
    <w:rsid w:val="3F034482"/>
    <w:rsid w:val="3FC07A85"/>
    <w:rsid w:val="439F5B8D"/>
    <w:rsid w:val="44EC2EB9"/>
    <w:rsid w:val="4DC756B9"/>
    <w:rsid w:val="4EA604F0"/>
    <w:rsid w:val="634F50DB"/>
    <w:rsid w:val="65297D03"/>
    <w:rsid w:val="68F41329"/>
    <w:rsid w:val="69FA5B20"/>
    <w:rsid w:val="748E2F5E"/>
    <w:rsid w:val="75E940A8"/>
    <w:rsid w:val="76E50CDA"/>
    <w:rsid w:val="782B6589"/>
    <w:rsid w:val="79E54A34"/>
    <w:rsid w:val="7AED7D82"/>
    <w:rsid w:val="AF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</w:rPr>
  </w:style>
  <w:style w:type="paragraph" w:styleId="a4">
    <w:name w:val="header"/>
    <w:basedOn w:val="a"/>
    <w:link w:val="Char"/>
    <w:rsid w:val="00241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4174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41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174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</w:rPr>
  </w:style>
  <w:style w:type="paragraph" w:styleId="a4">
    <w:name w:val="header"/>
    <w:basedOn w:val="a"/>
    <w:link w:val="Char"/>
    <w:rsid w:val="00241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4174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41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17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550</Characters>
  <Application>Microsoft Office Word</Application>
  <DocSecurity>0</DocSecurity>
  <Lines>4</Lines>
  <Paragraphs>1</Paragraphs>
  <ScaleCrop>false</ScaleCrop>
  <Company>cqda.gov.cn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一斗禾</dc:creator>
  <cp:lastModifiedBy>熊朝露</cp:lastModifiedBy>
  <cp:revision>2</cp:revision>
  <cp:lastPrinted>2026-01-20T19:18:00Z</cp:lastPrinted>
  <dcterms:created xsi:type="dcterms:W3CDTF">2026-01-08T07:49:00Z</dcterms:created>
  <dcterms:modified xsi:type="dcterms:W3CDTF">2026-02-06T03:11:00Z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F0B9D3FD857D47368B7DE6C4E0F5BAD9_13</vt:lpwstr>
  </property>
  <property fmtid="{D5CDD505-2E9C-101B-9397-08002B2CF9AE}" pid="4" name="KSOTemplateDocerSaveRecord">
    <vt:lpwstr>eyJoZGlkIjoiYTk4NDljZDdkMDcxYjZkZWIyNDk3NjVlODdjNjliYzYiLCJ1c2VySWQiOiIzNTYxMjYwNzAifQ==</vt:lpwstr>
  </property>
</Properties>
</file>