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5371" w:rsidRDefault="00C451AC">
      <w:pPr>
        <w:spacing w:beforeLines="50" w:before="156" w:afterLines="50" w:after="156" w:line="300" w:lineRule="auto"/>
        <w:jc w:val="left"/>
        <w:outlineLvl w:val="0"/>
        <w:rPr>
          <w:rFonts w:eastAsia="黑体"/>
          <w:iCs/>
          <w:kern w:val="0"/>
          <w:sz w:val="32"/>
          <w:szCs w:val="18"/>
        </w:rPr>
      </w:pPr>
      <w:bookmarkStart w:id="0" w:name="_Toc436647238"/>
      <w:bookmarkStart w:id="1" w:name="_Toc26083"/>
      <w:bookmarkStart w:id="2" w:name="_Toc8965"/>
      <w:bookmarkStart w:id="3" w:name="_Toc436648582"/>
      <w:bookmarkStart w:id="4" w:name="_Toc116200042"/>
      <w:r>
        <w:rPr>
          <w:rFonts w:eastAsia="黑体" w:hint="eastAsia"/>
          <w:iCs/>
          <w:kern w:val="0"/>
          <w:sz w:val="32"/>
          <w:szCs w:val="18"/>
        </w:rPr>
        <w:t>附件</w:t>
      </w:r>
      <w:r>
        <w:rPr>
          <w:rFonts w:eastAsia="黑体" w:hint="eastAsia"/>
          <w:iCs/>
          <w:kern w:val="0"/>
          <w:sz w:val="32"/>
          <w:szCs w:val="18"/>
        </w:rPr>
        <w:t>4</w:t>
      </w:r>
    </w:p>
    <w:p w:rsidR="00815371" w:rsidRDefault="00C451AC">
      <w:pPr>
        <w:spacing w:beforeLines="50" w:before="156" w:afterLines="50" w:after="156" w:line="300" w:lineRule="auto"/>
        <w:jc w:val="center"/>
        <w:outlineLvl w:val="0"/>
        <w:rPr>
          <w:rFonts w:eastAsia="黑体"/>
          <w:iCs/>
          <w:kern w:val="0"/>
          <w:sz w:val="32"/>
          <w:szCs w:val="18"/>
        </w:rPr>
      </w:pPr>
      <w:r>
        <w:rPr>
          <w:rFonts w:eastAsia="黑体"/>
          <w:iCs/>
          <w:kern w:val="0"/>
          <w:sz w:val="32"/>
          <w:szCs w:val="18"/>
        </w:rPr>
        <w:t>体外哺乳动物细胞染色体畸变试验</w:t>
      </w:r>
      <w:bookmarkEnd w:id="0"/>
      <w:bookmarkEnd w:id="1"/>
      <w:bookmarkEnd w:id="2"/>
      <w:bookmarkEnd w:id="3"/>
      <w:bookmarkEnd w:id="4"/>
      <w:r>
        <w:rPr>
          <w:rFonts w:eastAsia="黑体" w:hint="eastAsia"/>
          <w:iCs/>
          <w:kern w:val="0"/>
          <w:sz w:val="32"/>
          <w:szCs w:val="18"/>
        </w:rPr>
        <w:t>方法（征求意见稿）</w:t>
      </w:r>
    </w:p>
    <w:p w:rsidR="00815371" w:rsidRDefault="00C451AC">
      <w:pPr>
        <w:spacing w:beforeLines="50" w:before="156" w:afterLines="50" w:after="156" w:line="300" w:lineRule="auto"/>
        <w:jc w:val="center"/>
        <w:rPr>
          <w:szCs w:val="32"/>
        </w:rPr>
      </w:pPr>
      <w:r>
        <w:rPr>
          <w:i/>
        </w:rPr>
        <w:t>In Vitro</w:t>
      </w:r>
      <w:r>
        <w:t xml:space="preserve"> Mammalian Cells Chromosome Aberration Test</w:t>
      </w:r>
    </w:p>
    <w:p w:rsidR="00815371" w:rsidRDefault="00C451AC">
      <w:pPr>
        <w:spacing w:beforeLines="50" w:before="156" w:afterLines="50" w:after="156" w:line="300" w:lineRule="auto"/>
        <w:jc w:val="left"/>
        <w:outlineLvl w:val="2"/>
        <w:rPr>
          <w:rFonts w:eastAsia="黑体"/>
          <w:bCs/>
          <w:szCs w:val="32"/>
        </w:rPr>
      </w:pPr>
      <w:bookmarkStart w:id="5" w:name="_Toc91679178"/>
      <w:r>
        <w:rPr>
          <w:rFonts w:eastAsia="黑体"/>
          <w:bCs/>
          <w:szCs w:val="32"/>
        </w:rPr>
        <w:t>1</w:t>
      </w:r>
      <w:r>
        <w:rPr>
          <w:rFonts w:eastAsia="黑体" w:hint="eastAsia"/>
          <w:bCs/>
          <w:szCs w:val="32"/>
        </w:rPr>
        <w:t xml:space="preserve">  </w:t>
      </w:r>
      <w:r>
        <w:rPr>
          <w:rFonts w:eastAsia="黑体"/>
          <w:bCs/>
          <w:szCs w:val="32"/>
        </w:rPr>
        <w:t>范围</w:t>
      </w:r>
      <w:bookmarkEnd w:id="5"/>
    </w:p>
    <w:p w:rsidR="00815371" w:rsidRDefault="00C451AC">
      <w:pPr>
        <w:spacing w:line="300" w:lineRule="auto"/>
        <w:ind w:firstLineChars="200" w:firstLine="420"/>
        <w:rPr>
          <w:szCs w:val="21"/>
        </w:rPr>
      </w:pPr>
      <w:r>
        <w:rPr>
          <w:szCs w:val="21"/>
        </w:rPr>
        <w:t>本方法规定了体外哺乳动物细胞染色体畸变试验的基本原则、要求和方法。</w:t>
      </w:r>
    </w:p>
    <w:p w:rsidR="00815371" w:rsidRDefault="00C451AC">
      <w:pPr>
        <w:spacing w:line="300" w:lineRule="auto"/>
        <w:ind w:firstLineChars="200" w:firstLine="420"/>
        <w:rPr>
          <w:szCs w:val="21"/>
        </w:rPr>
      </w:pPr>
      <w:r>
        <w:rPr>
          <w:szCs w:val="21"/>
        </w:rPr>
        <w:t>本方法适用于评价化妆品原料及其产品的致突变性。</w:t>
      </w:r>
    </w:p>
    <w:p w:rsidR="00815371" w:rsidRDefault="00C451AC">
      <w:pPr>
        <w:spacing w:beforeLines="50" w:before="156" w:afterLines="50" w:after="156" w:line="300" w:lineRule="auto"/>
        <w:jc w:val="left"/>
        <w:outlineLvl w:val="2"/>
        <w:rPr>
          <w:rFonts w:eastAsia="黑体"/>
          <w:bCs/>
          <w:szCs w:val="32"/>
        </w:rPr>
      </w:pPr>
      <w:bookmarkStart w:id="6" w:name="_Toc91679179"/>
      <w:r>
        <w:rPr>
          <w:rFonts w:eastAsia="黑体"/>
          <w:bCs/>
          <w:szCs w:val="32"/>
        </w:rPr>
        <w:t>2</w:t>
      </w:r>
      <w:r>
        <w:rPr>
          <w:rFonts w:eastAsia="黑体" w:hint="eastAsia"/>
          <w:bCs/>
          <w:szCs w:val="32"/>
        </w:rPr>
        <w:t xml:space="preserve">  </w:t>
      </w:r>
      <w:r>
        <w:rPr>
          <w:rFonts w:eastAsia="黑体"/>
          <w:bCs/>
          <w:szCs w:val="32"/>
        </w:rPr>
        <w:t>试验目的</w:t>
      </w:r>
      <w:bookmarkEnd w:id="6"/>
    </w:p>
    <w:p w:rsidR="00815371" w:rsidRDefault="00C451AC">
      <w:pPr>
        <w:spacing w:line="300" w:lineRule="auto"/>
        <w:ind w:firstLineChars="200" w:firstLine="420"/>
        <w:rPr>
          <w:szCs w:val="21"/>
        </w:rPr>
      </w:pPr>
      <w:r>
        <w:rPr>
          <w:szCs w:val="21"/>
        </w:rPr>
        <w:t>本试验用于检测培养的哺乳动物细胞染色体畸变，以评价</w:t>
      </w:r>
      <w:proofErr w:type="gramStart"/>
      <w:r>
        <w:rPr>
          <w:szCs w:val="21"/>
        </w:rPr>
        <w:t>受试物致突变</w:t>
      </w:r>
      <w:proofErr w:type="gramEnd"/>
      <w:r>
        <w:rPr>
          <w:szCs w:val="21"/>
        </w:rPr>
        <w:t>的可能性。</w:t>
      </w:r>
    </w:p>
    <w:p w:rsidR="00815371" w:rsidRDefault="00C451AC">
      <w:pPr>
        <w:spacing w:beforeLines="50" w:before="156" w:afterLines="50" w:after="156" w:line="300" w:lineRule="auto"/>
        <w:jc w:val="left"/>
        <w:outlineLvl w:val="2"/>
        <w:rPr>
          <w:rFonts w:eastAsia="黑体"/>
          <w:bCs/>
          <w:szCs w:val="32"/>
        </w:rPr>
      </w:pPr>
      <w:bookmarkStart w:id="7" w:name="_Toc91679180"/>
      <w:r>
        <w:rPr>
          <w:rFonts w:eastAsia="黑体"/>
          <w:bCs/>
          <w:szCs w:val="32"/>
        </w:rPr>
        <w:t>3</w:t>
      </w:r>
      <w:r>
        <w:rPr>
          <w:rFonts w:eastAsia="黑体" w:hint="eastAsia"/>
          <w:bCs/>
          <w:szCs w:val="32"/>
        </w:rPr>
        <w:t xml:space="preserve">  </w:t>
      </w:r>
      <w:r>
        <w:rPr>
          <w:rFonts w:eastAsia="黑体"/>
          <w:bCs/>
          <w:szCs w:val="32"/>
        </w:rPr>
        <w:t>定义</w:t>
      </w:r>
      <w:bookmarkEnd w:id="7"/>
    </w:p>
    <w:p w:rsidR="00815371" w:rsidRDefault="00C451AC">
      <w:pPr>
        <w:spacing w:beforeLines="50" w:before="156" w:afterLines="50" w:after="156" w:line="300" w:lineRule="auto"/>
        <w:rPr>
          <w:szCs w:val="21"/>
        </w:rPr>
      </w:pPr>
      <w:r>
        <w:rPr>
          <w:szCs w:val="21"/>
        </w:rPr>
        <w:t>3.1</w:t>
      </w:r>
      <w:r>
        <w:rPr>
          <w:rFonts w:hint="eastAsia"/>
          <w:szCs w:val="21"/>
        </w:rPr>
        <w:t xml:space="preserve"> </w:t>
      </w:r>
      <w:r>
        <w:rPr>
          <w:szCs w:val="21"/>
        </w:rPr>
        <w:t>染色体型畸变</w:t>
      </w:r>
      <w:r>
        <w:rPr>
          <w:rFonts w:hint="eastAsia"/>
          <w:szCs w:val="21"/>
        </w:rPr>
        <w:t xml:space="preserve"> </w:t>
      </w:r>
      <w:r>
        <w:rPr>
          <w:szCs w:val="21"/>
        </w:rPr>
        <w:t>chromosome-type aberration</w:t>
      </w:r>
    </w:p>
    <w:p w:rsidR="00815371" w:rsidRDefault="00C451AC">
      <w:pPr>
        <w:spacing w:line="300" w:lineRule="auto"/>
        <w:ind w:firstLineChars="200" w:firstLine="420"/>
        <w:rPr>
          <w:szCs w:val="21"/>
        </w:rPr>
      </w:pPr>
      <w:r>
        <w:rPr>
          <w:szCs w:val="21"/>
        </w:rPr>
        <w:t>染色体结构损伤，表现为在两个染色单体相同位点均出现断裂或断裂重组的改变。</w:t>
      </w:r>
    </w:p>
    <w:p w:rsidR="00815371" w:rsidRDefault="00C451AC">
      <w:pPr>
        <w:spacing w:beforeLines="50" w:before="156" w:afterLines="50" w:after="156" w:line="300" w:lineRule="auto"/>
        <w:rPr>
          <w:szCs w:val="21"/>
        </w:rPr>
      </w:pPr>
      <w:r>
        <w:rPr>
          <w:szCs w:val="21"/>
        </w:rPr>
        <w:t>3.2</w:t>
      </w:r>
      <w:r>
        <w:rPr>
          <w:rFonts w:hint="eastAsia"/>
          <w:szCs w:val="21"/>
        </w:rPr>
        <w:t xml:space="preserve"> </w:t>
      </w:r>
      <w:r>
        <w:rPr>
          <w:szCs w:val="21"/>
        </w:rPr>
        <w:t>染色单体型畸变</w:t>
      </w:r>
      <w:r>
        <w:rPr>
          <w:rFonts w:hint="eastAsia"/>
          <w:szCs w:val="21"/>
        </w:rPr>
        <w:t xml:space="preserve"> </w:t>
      </w:r>
      <w:r>
        <w:rPr>
          <w:szCs w:val="21"/>
        </w:rPr>
        <w:t>chromatid-type aberration</w:t>
      </w:r>
    </w:p>
    <w:p w:rsidR="00815371" w:rsidRDefault="00C451AC">
      <w:pPr>
        <w:spacing w:line="300" w:lineRule="auto"/>
        <w:ind w:firstLineChars="200" w:firstLine="420"/>
        <w:rPr>
          <w:szCs w:val="21"/>
        </w:rPr>
      </w:pPr>
      <w:r>
        <w:rPr>
          <w:szCs w:val="21"/>
        </w:rPr>
        <w:t>染色体结构损伤，表现为染色单体断裂或染色单体断裂重组的损伤。</w:t>
      </w:r>
    </w:p>
    <w:p w:rsidR="00815371" w:rsidRDefault="00C451AC">
      <w:pPr>
        <w:spacing w:beforeLines="50" w:before="156" w:afterLines="50" w:after="156" w:line="300" w:lineRule="auto"/>
        <w:rPr>
          <w:szCs w:val="21"/>
        </w:rPr>
      </w:pPr>
      <w:r>
        <w:rPr>
          <w:szCs w:val="21"/>
        </w:rPr>
        <w:t>3.3</w:t>
      </w:r>
      <w:r>
        <w:rPr>
          <w:rFonts w:hint="eastAsia"/>
          <w:szCs w:val="21"/>
        </w:rPr>
        <w:t xml:space="preserve"> </w:t>
      </w:r>
      <w:r>
        <w:rPr>
          <w:szCs w:val="21"/>
        </w:rPr>
        <w:t>染色单体裂隙</w:t>
      </w:r>
      <w:r>
        <w:rPr>
          <w:szCs w:val="21"/>
        </w:rPr>
        <w:t xml:space="preserve"> chromatid gap</w:t>
      </w:r>
    </w:p>
    <w:p w:rsidR="00815371" w:rsidRDefault="00C451AC">
      <w:pPr>
        <w:spacing w:line="300" w:lineRule="auto"/>
        <w:ind w:firstLine="410"/>
        <w:rPr>
          <w:szCs w:val="21"/>
        </w:rPr>
      </w:pPr>
      <w:r>
        <w:rPr>
          <w:szCs w:val="21"/>
        </w:rPr>
        <w:t>单个染色单体上出现的无染色质的区域，其宽度小于染色单体的横截面的宽度。其中存在染色单体的最小错位。</w:t>
      </w:r>
    </w:p>
    <w:p w:rsidR="00815371" w:rsidRDefault="00C451AC">
      <w:pPr>
        <w:spacing w:beforeLines="50" w:before="156" w:afterLines="50" w:after="156" w:line="300" w:lineRule="auto"/>
        <w:rPr>
          <w:szCs w:val="21"/>
        </w:rPr>
      </w:pPr>
      <w:r>
        <w:rPr>
          <w:szCs w:val="21"/>
        </w:rPr>
        <w:t>3.4</w:t>
      </w:r>
      <w:r>
        <w:rPr>
          <w:rFonts w:hint="eastAsia"/>
          <w:szCs w:val="21"/>
        </w:rPr>
        <w:t xml:space="preserve"> </w:t>
      </w:r>
      <w:r>
        <w:rPr>
          <w:szCs w:val="21"/>
        </w:rPr>
        <w:t>染色单体断裂</w:t>
      </w:r>
      <w:r>
        <w:rPr>
          <w:szCs w:val="21"/>
        </w:rPr>
        <w:t xml:space="preserve"> chromatid break</w:t>
      </w:r>
    </w:p>
    <w:p w:rsidR="00815371" w:rsidRDefault="00C451AC">
      <w:pPr>
        <w:spacing w:line="300" w:lineRule="auto"/>
        <w:ind w:firstLine="420"/>
        <w:rPr>
          <w:szCs w:val="21"/>
        </w:rPr>
      </w:pPr>
      <w:r>
        <w:rPr>
          <w:szCs w:val="21"/>
        </w:rPr>
        <w:t>染色单体的不连续，其中有一条明显的不对称染色单体。</w:t>
      </w:r>
    </w:p>
    <w:p w:rsidR="00815371" w:rsidRDefault="00C451AC">
      <w:pPr>
        <w:spacing w:beforeLines="50" w:before="156" w:afterLines="50" w:after="156" w:line="300" w:lineRule="auto"/>
        <w:rPr>
          <w:szCs w:val="21"/>
        </w:rPr>
      </w:pPr>
      <w:r>
        <w:rPr>
          <w:szCs w:val="21"/>
        </w:rPr>
        <w:t>3.5</w:t>
      </w:r>
      <w:r>
        <w:rPr>
          <w:rFonts w:hint="eastAsia"/>
          <w:szCs w:val="21"/>
        </w:rPr>
        <w:t xml:space="preserve"> </w:t>
      </w:r>
      <w:r>
        <w:rPr>
          <w:szCs w:val="21"/>
        </w:rPr>
        <w:t>多倍体</w:t>
      </w:r>
      <w:r>
        <w:rPr>
          <w:szCs w:val="21"/>
        </w:rPr>
        <w:t xml:space="preserve"> polyploidy</w:t>
      </w:r>
    </w:p>
    <w:p w:rsidR="00815371" w:rsidRDefault="00C451AC">
      <w:pPr>
        <w:spacing w:line="300" w:lineRule="auto"/>
        <w:ind w:firstLineChars="200" w:firstLine="420"/>
        <w:rPr>
          <w:szCs w:val="21"/>
        </w:rPr>
      </w:pPr>
      <w:r>
        <w:rPr>
          <w:szCs w:val="21"/>
        </w:rPr>
        <w:t>整个染色体组的细胞或生物体中的染色体数目畸变，而不是单个染色质或染色体（非整倍体）。</w:t>
      </w:r>
    </w:p>
    <w:p w:rsidR="00815371" w:rsidRDefault="00C451AC">
      <w:pPr>
        <w:spacing w:beforeLines="50" w:before="156" w:afterLines="50" w:after="156" w:line="300" w:lineRule="auto"/>
        <w:rPr>
          <w:szCs w:val="21"/>
        </w:rPr>
      </w:pPr>
      <w:r>
        <w:rPr>
          <w:szCs w:val="21"/>
        </w:rPr>
        <w:t>3.6</w:t>
      </w:r>
      <w:r>
        <w:rPr>
          <w:rFonts w:hint="eastAsia"/>
          <w:szCs w:val="21"/>
        </w:rPr>
        <w:t xml:space="preserve"> </w:t>
      </w:r>
      <w:r>
        <w:rPr>
          <w:szCs w:val="21"/>
        </w:rPr>
        <w:t>核内复制</w:t>
      </w:r>
      <w:r>
        <w:rPr>
          <w:szCs w:val="21"/>
        </w:rPr>
        <w:t xml:space="preserve"> </w:t>
      </w:r>
      <w:proofErr w:type="spellStart"/>
      <w:r>
        <w:rPr>
          <w:szCs w:val="21"/>
        </w:rPr>
        <w:t>endoreduplication</w:t>
      </w:r>
      <w:proofErr w:type="spellEnd"/>
    </w:p>
    <w:p w:rsidR="00815371" w:rsidRDefault="00C451AC">
      <w:pPr>
        <w:spacing w:line="300" w:lineRule="auto"/>
        <w:ind w:firstLineChars="200" w:firstLine="420"/>
        <w:rPr>
          <w:szCs w:val="21"/>
        </w:rPr>
      </w:pPr>
      <w:r>
        <w:rPr>
          <w:szCs w:val="21"/>
        </w:rPr>
        <w:t>DNA</w:t>
      </w:r>
      <w:r>
        <w:rPr>
          <w:szCs w:val="21"/>
        </w:rPr>
        <w:t>复制的</w:t>
      </w:r>
      <w:r>
        <w:rPr>
          <w:szCs w:val="21"/>
        </w:rPr>
        <w:t>S</w:t>
      </w:r>
      <w:r>
        <w:rPr>
          <w:szCs w:val="21"/>
        </w:rPr>
        <w:t>期末，细胞核没有进入有丝分裂，而开始另一个</w:t>
      </w:r>
      <w:r>
        <w:rPr>
          <w:szCs w:val="21"/>
        </w:rPr>
        <w:t>S</w:t>
      </w:r>
      <w:r>
        <w:rPr>
          <w:szCs w:val="21"/>
        </w:rPr>
        <w:t>期的过程，其结果是染色体具有</w:t>
      </w:r>
      <w:r>
        <w:rPr>
          <w:szCs w:val="21"/>
        </w:rPr>
        <w:t>4</w:t>
      </w:r>
      <w:r>
        <w:rPr>
          <w:szCs w:val="21"/>
        </w:rPr>
        <w:t>，</w:t>
      </w:r>
      <w:r>
        <w:rPr>
          <w:szCs w:val="21"/>
        </w:rPr>
        <w:t>8</w:t>
      </w:r>
      <w:r>
        <w:rPr>
          <w:szCs w:val="21"/>
        </w:rPr>
        <w:t>，</w:t>
      </w:r>
      <w:r>
        <w:rPr>
          <w:szCs w:val="21"/>
        </w:rPr>
        <w:t>16</w:t>
      </w:r>
      <w:r>
        <w:rPr>
          <w:szCs w:val="21"/>
        </w:rPr>
        <w:t>，</w:t>
      </w:r>
      <w:r>
        <w:rPr>
          <w:szCs w:val="21"/>
        </w:rPr>
        <w:t>…</w:t>
      </w:r>
      <w:r>
        <w:rPr>
          <w:szCs w:val="21"/>
        </w:rPr>
        <w:t>，</w:t>
      </w:r>
      <w:proofErr w:type="gramStart"/>
      <w:r>
        <w:rPr>
          <w:szCs w:val="21"/>
        </w:rPr>
        <w:t>个</w:t>
      </w:r>
      <w:proofErr w:type="gramEnd"/>
      <w:r>
        <w:rPr>
          <w:szCs w:val="21"/>
        </w:rPr>
        <w:t>染色单体。</w:t>
      </w:r>
    </w:p>
    <w:p w:rsidR="00815371" w:rsidRDefault="00C451AC">
      <w:pPr>
        <w:spacing w:beforeLines="50" w:before="156" w:afterLines="50" w:after="156" w:line="300" w:lineRule="auto"/>
        <w:rPr>
          <w:szCs w:val="21"/>
        </w:rPr>
      </w:pPr>
      <w:r>
        <w:rPr>
          <w:szCs w:val="21"/>
        </w:rPr>
        <w:t>3.7</w:t>
      </w:r>
      <w:r>
        <w:rPr>
          <w:rFonts w:hint="eastAsia"/>
          <w:szCs w:val="21"/>
        </w:rPr>
        <w:t xml:space="preserve"> </w:t>
      </w:r>
      <w:r>
        <w:rPr>
          <w:szCs w:val="21"/>
        </w:rPr>
        <w:t>有丝分裂指数</w:t>
      </w:r>
      <w:r>
        <w:rPr>
          <w:szCs w:val="21"/>
        </w:rPr>
        <w:t>mitotic index</w:t>
      </w:r>
    </w:p>
    <w:p w:rsidR="00815371" w:rsidRDefault="00C451AC">
      <w:pPr>
        <w:spacing w:line="300" w:lineRule="auto"/>
        <w:ind w:firstLineChars="200" w:firstLine="420"/>
        <w:rPr>
          <w:szCs w:val="21"/>
        </w:rPr>
      </w:pPr>
      <w:r>
        <w:rPr>
          <w:szCs w:val="21"/>
        </w:rPr>
        <w:lastRenderedPageBreak/>
        <w:t>中期相细胞数与所观察的细胞总数之比值；是一项反映细胞增殖程度的指标。</w:t>
      </w:r>
      <w:bookmarkStart w:id="8" w:name="_Toc91679181"/>
    </w:p>
    <w:p w:rsidR="00815371" w:rsidRDefault="00C451AC">
      <w:pPr>
        <w:spacing w:beforeLines="50" w:before="156" w:afterLines="50" w:after="156" w:line="300" w:lineRule="auto"/>
        <w:jc w:val="left"/>
        <w:outlineLvl w:val="2"/>
        <w:rPr>
          <w:rFonts w:eastAsia="黑体"/>
          <w:bCs/>
          <w:szCs w:val="32"/>
        </w:rPr>
      </w:pPr>
      <w:r>
        <w:rPr>
          <w:rFonts w:eastAsia="黑体"/>
          <w:bCs/>
          <w:szCs w:val="32"/>
        </w:rPr>
        <w:t xml:space="preserve">4  </w:t>
      </w:r>
      <w:r>
        <w:rPr>
          <w:rFonts w:eastAsia="黑体"/>
          <w:bCs/>
          <w:szCs w:val="32"/>
        </w:rPr>
        <w:t>试验基本原则</w:t>
      </w:r>
      <w:bookmarkEnd w:id="8"/>
    </w:p>
    <w:p w:rsidR="00815371" w:rsidRDefault="00C451AC">
      <w:pPr>
        <w:spacing w:line="300" w:lineRule="auto"/>
        <w:ind w:firstLineChars="200" w:firstLine="420"/>
        <w:rPr>
          <w:szCs w:val="21"/>
        </w:rPr>
      </w:pPr>
      <w:r>
        <w:rPr>
          <w:szCs w:val="21"/>
        </w:rPr>
        <w:t>在加入和不加入代谢活化系统的条件下，使培养的哺乳动物细胞暴露于受试物中。</w:t>
      </w:r>
      <w:proofErr w:type="gramStart"/>
      <w:r>
        <w:rPr>
          <w:szCs w:val="21"/>
        </w:rPr>
        <w:t>用中期</w:t>
      </w:r>
      <w:proofErr w:type="gramEnd"/>
      <w:r>
        <w:rPr>
          <w:szCs w:val="21"/>
        </w:rPr>
        <w:t>分裂相阻断剂（如秋水仙素或秋水仙胺）处理，使细胞停止在中期分裂相，随后收获细胞，制片，染色，分析染色体畸变。</w:t>
      </w:r>
    </w:p>
    <w:p w:rsidR="00815371" w:rsidRDefault="00C451AC">
      <w:pPr>
        <w:spacing w:line="300" w:lineRule="auto"/>
        <w:ind w:firstLineChars="200" w:firstLine="420"/>
        <w:rPr>
          <w:szCs w:val="21"/>
        </w:rPr>
      </w:pPr>
      <w:r>
        <w:rPr>
          <w:szCs w:val="21"/>
        </w:rPr>
        <w:t>大部分的致突变剂导致染色单体型畸变，偶有染色体型畸变发生。虽然多倍体的增加可能预示着有染色体数目畸变的可能，但本方法并不适合用于测定染色体的数目畸变。</w:t>
      </w:r>
    </w:p>
    <w:p w:rsidR="00815371" w:rsidRDefault="00C451AC">
      <w:pPr>
        <w:spacing w:beforeLines="50" w:before="156" w:afterLines="50" w:after="156" w:line="300" w:lineRule="auto"/>
        <w:jc w:val="left"/>
        <w:outlineLvl w:val="2"/>
        <w:rPr>
          <w:rFonts w:eastAsia="黑体"/>
          <w:bCs/>
          <w:szCs w:val="32"/>
        </w:rPr>
      </w:pPr>
      <w:bookmarkStart w:id="9" w:name="_Toc91679182"/>
      <w:r>
        <w:rPr>
          <w:rFonts w:eastAsia="黑体"/>
          <w:bCs/>
          <w:szCs w:val="32"/>
        </w:rPr>
        <w:t xml:space="preserve">5  </w:t>
      </w:r>
      <w:r>
        <w:rPr>
          <w:rFonts w:eastAsia="黑体"/>
          <w:bCs/>
          <w:szCs w:val="32"/>
        </w:rPr>
        <w:t>试验方法</w:t>
      </w:r>
      <w:bookmarkEnd w:id="9"/>
    </w:p>
    <w:p w:rsidR="00815371" w:rsidRDefault="00C451AC">
      <w:pPr>
        <w:spacing w:beforeLines="50" w:before="156" w:afterLines="50" w:after="156" w:line="300" w:lineRule="auto"/>
        <w:rPr>
          <w:szCs w:val="21"/>
        </w:rPr>
      </w:pPr>
      <w:r>
        <w:rPr>
          <w:szCs w:val="21"/>
        </w:rPr>
        <w:t>5.1</w:t>
      </w:r>
      <w:r>
        <w:rPr>
          <w:rFonts w:hint="eastAsia"/>
          <w:szCs w:val="21"/>
        </w:rPr>
        <w:t xml:space="preserve"> </w:t>
      </w:r>
      <w:r>
        <w:rPr>
          <w:szCs w:val="21"/>
        </w:rPr>
        <w:t>试剂和受试物制备</w:t>
      </w:r>
    </w:p>
    <w:p w:rsidR="00815371" w:rsidRDefault="00C451AC">
      <w:pPr>
        <w:spacing w:line="300" w:lineRule="auto"/>
        <w:rPr>
          <w:szCs w:val="21"/>
        </w:rPr>
      </w:pPr>
      <w:r>
        <w:rPr>
          <w:szCs w:val="21"/>
        </w:rPr>
        <w:t>5.1.1</w:t>
      </w:r>
      <w:r>
        <w:rPr>
          <w:rFonts w:hint="eastAsia"/>
          <w:szCs w:val="21"/>
        </w:rPr>
        <w:t xml:space="preserve"> </w:t>
      </w:r>
      <w:r>
        <w:rPr>
          <w:szCs w:val="21"/>
        </w:rPr>
        <w:t>阳性对照：可根据受试物的性质和结构选择适宜的阳性对照物，阳性对照物应是已知的断裂剂，能引起可检出的、可重复的阳性结果。当外源性活化系统不存在时，可使用甲磺酸甲酯（</w:t>
      </w:r>
      <w:r>
        <w:rPr>
          <w:szCs w:val="21"/>
        </w:rPr>
        <w:t xml:space="preserve">Methyl </w:t>
      </w:r>
      <w:proofErr w:type="spellStart"/>
      <w:r>
        <w:rPr>
          <w:szCs w:val="21"/>
        </w:rPr>
        <w:t>methanesulphonate</w:t>
      </w:r>
      <w:proofErr w:type="spellEnd"/>
      <w:r>
        <w:rPr>
          <w:szCs w:val="21"/>
        </w:rPr>
        <w:t>, MMS</w:t>
      </w:r>
      <w:r>
        <w:rPr>
          <w:szCs w:val="21"/>
        </w:rPr>
        <w:t>）、甲磺酸乙酯（</w:t>
      </w:r>
      <w:r>
        <w:rPr>
          <w:szCs w:val="21"/>
        </w:rPr>
        <w:t xml:space="preserve">Ethyl </w:t>
      </w:r>
      <w:proofErr w:type="spellStart"/>
      <w:r>
        <w:rPr>
          <w:szCs w:val="21"/>
        </w:rPr>
        <w:t>methanesulphonate</w:t>
      </w:r>
      <w:proofErr w:type="spellEnd"/>
      <w:r>
        <w:rPr>
          <w:szCs w:val="21"/>
        </w:rPr>
        <w:t>, EMS</w:t>
      </w:r>
      <w:r>
        <w:rPr>
          <w:szCs w:val="21"/>
        </w:rPr>
        <w:t>）、乙基亚硝基</w:t>
      </w:r>
      <w:proofErr w:type="gramStart"/>
      <w:r>
        <w:rPr>
          <w:szCs w:val="21"/>
        </w:rPr>
        <w:t>脲</w:t>
      </w:r>
      <w:proofErr w:type="gramEnd"/>
      <w:r>
        <w:rPr>
          <w:szCs w:val="21"/>
        </w:rPr>
        <w:t>（</w:t>
      </w:r>
      <w:r>
        <w:rPr>
          <w:szCs w:val="21"/>
        </w:rPr>
        <w:t xml:space="preserve">Ethyl </w:t>
      </w:r>
      <w:proofErr w:type="spellStart"/>
      <w:r>
        <w:rPr>
          <w:szCs w:val="21"/>
        </w:rPr>
        <w:t>nitrosourea</w:t>
      </w:r>
      <w:proofErr w:type="spellEnd"/>
      <w:r>
        <w:rPr>
          <w:szCs w:val="21"/>
        </w:rPr>
        <w:t>）、丝裂霉素</w:t>
      </w:r>
      <w:r>
        <w:rPr>
          <w:szCs w:val="21"/>
        </w:rPr>
        <w:t>C</w:t>
      </w:r>
      <w:r>
        <w:rPr>
          <w:szCs w:val="21"/>
        </w:rPr>
        <w:t>（</w:t>
      </w:r>
      <w:proofErr w:type="spellStart"/>
      <w:r>
        <w:rPr>
          <w:szCs w:val="21"/>
        </w:rPr>
        <w:t>Mitomycin</w:t>
      </w:r>
      <w:proofErr w:type="spellEnd"/>
      <w:r>
        <w:rPr>
          <w:szCs w:val="21"/>
        </w:rPr>
        <w:t xml:space="preserve"> C</w:t>
      </w:r>
      <w:r>
        <w:rPr>
          <w:szCs w:val="21"/>
        </w:rPr>
        <w:t>）、</w:t>
      </w:r>
      <w:r>
        <w:rPr>
          <w:szCs w:val="21"/>
        </w:rPr>
        <w:t>4-</w:t>
      </w:r>
      <w:r>
        <w:rPr>
          <w:szCs w:val="21"/>
        </w:rPr>
        <w:t>硝基喹啉</w:t>
      </w:r>
      <w:r>
        <w:rPr>
          <w:szCs w:val="21"/>
        </w:rPr>
        <w:t>-N-</w:t>
      </w:r>
      <w:r>
        <w:rPr>
          <w:szCs w:val="21"/>
        </w:rPr>
        <w:t>氧化物（</w:t>
      </w:r>
      <w:r>
        <w:rPr>
          <w:szCs w:val="21"/>
        </w:rPr>
        <w:t>4-Nitroquinoline-N-Oxide</w:t>
      </w:r>
      <w:r>
        <w:rPr>
          <w:szCs w:val="21"/>
        </w:rPr>
        <w:t>）。当外源性活化系统存在时，可使用苯并［</w:t>
      </w:r>
      <w:r>
        <w:rPr>
          <w:szCs w:val="21"/>
        </w:rPr>
        <w:t>a</w:t>
      </w:r>
      <w:r>
        <w:rPr>
          <w:szCs w:val="21"/>
        </w:rPr>
        <w:t>］</w:t>
      </w:r>
      <w:proofErr w:type="gramStart"/>
      <w:r>
        <w:rPr>
          <w:szCs w:val="21"/>
        </w:rPr>
        <w:t>芘</w:t>
      </w:r>
      <w:proofErr w:type="gramEnd"/>
      <w:r>
        <w:rPr>
          <w:szCs w:val="21"/>
        </w:rPr>
        <w:t>（</w:t>
      </w:r>
      <w:proofErr w:type="spellStart"/>
      <w:r>
        <w:rPr>
          <w:szCs w:val="21"/>
        </w:rPr>
        <w:t>Benzo</w:t>
      </w:r>
      <w:proofErr w:type="spellEnd"/>
      <w:r>
        <w:rPr>
          <w:szCs w:val="21"/>
        </w:rPr>
        <w:t>［</w:t>
      </w:r>
      <w:r>
        <w:rPr>
          <w:szCs w:val="21"/>
        </w:rPr>
        <w:t>a</w:t>
      </w:r>
      <w:r>
        <w:rPr>
          <w:szCs w:val="21"/>
        </w:rPr>
        <w:t>］</w:t>
      </w:r>
      <w:proofErr w:type="spellStart"/>
      <w:r>
        <w:rPr>
          <w:szCs w:val="21"/>
        </w:rPr>
        <w:t>pyrene</w:t>
      </w:r>
      <w:proofErr w:type="spellEnd"/>
      <w:r>
        <w:rPr>
          <w:szCs w:val="21"/>
        </w:rPr>
        <w:t>）、环磷酰胺（</w:t>
      </w:r>
      <w:r>
        <w:rPr>
          <w:szCs w:val="21"/>
        </w:rPr>
        <w:t>Cyclophosphamide</w:t>
      </w:r>
      <w:r>
        <w:rPr>
          <w:szCs w:val="21"/>
        </w:rPr>
        <w:t>）。</w:t>
      </w:r>
    </w:p>
    <w:p w:rsidR="00815371" w:rsidRDefault="00C451AC">
      <w:pPr>
        <w:spacing w:line="300" w:lineRule="auto"/>
        <w:rPr>
          <w:szCs w:val="21"/>
        </w:rPr>
      </w:pPr>
      <w:r>
        <w:rPr>
          <w:szCs w:val="21"/>
        </w:rPr>
        <w:t>5.1.2</w:t>
      </w:r>
      <w:r>
        <w:rPr>
          <w:rFonts w:hint="eastAsia"/>
          <w:szCs w:val="21"/>
        </w:rPr>
        <w:t xml:space="preserve"> </w:t>
      </w:r>
      <w:r>
        <w:rPr>
          <w:szCs w:val="21"/>
        </w:rPr>
        <w:t>阴性对照：应设阴性对照，即仅含和受试</w:t>
      </w:r>
      <w:proofErr w:type="gramStart"/>
      <w:r>
        <w:rPr>
          <w:szCs w:val="21"/>
        </w:rPr>
        <w:t>物组相同</w:t>
      </w:r>
      <w:proofErr w:type="gramEnd"/>
      <w:r>
        <w:rPr>
          <w:szCs w:val="21"/>
        </w:rPr>
        <w:t>的溶剂，不含受试物，其他处理和受试</w:t>
      </w:r>
      <w:proofErr w:type="gramStart"/>
      <w:r>
        <w:rPr>
          <w:szCs w:val="21"/>
        </w:rPr>
        <w:t>物组完全</w:t>
      </w:r>
      <w:proofErr w:type="gramEnd"/>
      <w:r>
        <w:rPr>
          <w:szCs w:val="21"/>
        </w:rPr>
        <w:t>相同。</w:t>
      </w:r>
    </w:p>
    <w:p w:rsidR="00815371" w:rsidRDefault="00C451AC">
      <w:pPr>
        <w:spacing w:line="300" w:lineRule="auto"/>
        <w:rPr>
          <w:szCs w:val="21"/>
        </w:rPr>
      </w:pPr>
      <w:r>
        <w:rPr>
          <w:szCs w:val="21"/>
        </w:rPr>
        <w:t>5.1.3</w:t>
      </w:r>
      <w:r>
        <w:rPr>
          <w:rFonts w:hint="eastAsia"/>
          <w:szCs w:val="21"/>
        </w:rPr>
        <w:t xml:space="preserve"> </w:t>
      </w:r>
      <w:r>
        <w:rPr>
          <w:szCs w:val="21"/>
        </w:rPr>
        <w:t>空白对照：如未能证实所选溶剂不具有致突变性，溶剂对照与本实验室空白对照背景资料有明显差异，还应设空白对照。</w:t>
      </w:r>
    </w:p>
    <w:p w:rsidR="00815371" w:rsidRDefault="00C451AC">
      <w:pPr>
        <w:spacing w:line="300" w:lineRule="auto"/>
        <w:rPr>
          <w:szCs w:val="21"/>
        </w:rPr>
      </w:pPr>
      <w:r>
        <w:rPr>
          <w:szCs w:val="21"/>
        </w:rPr>
        <w:t>5.1.4</w:t>
      </w:r>
      <w:r>
        <w:rPr>
          <w:rFonts w:hint="eastAsia"/>
          <w:szCs w:val="21"/>
        </w:rPr>
        <w:t xml:space="preserve"> </w:t>
      </w:r>
      <w:r>
        <w:rPr>
          <w:szCs w:val="21"/>
        </w:rPr>
        <w:t>受试物</w:t>
      </w:r>
    </w:p>
    <w:p w:rsidR="00815371" w:rsidRDefault="00C451AC">
      <w:pPr>
        <w:spacing w:line="300" w:lineRule="auto"/>
        <w:rPr>
          <w:szCs w:val="21"/>
        </w:rPr>
      </w:pPr>
      <w:r>
        <w:rPr>
          <w:szCs w:val="21"/>
        </w:rPr>
        <w:t>5.1.4.1</w:t>
      </w:r>
      <w:r>
        <w:rPr>
          <w:rFonts w:hint="eastAsia"/>
          <w:szCs w:val="21"/>
        </w:rPr>
        <w:t xml:space="preserve"> </w:t>
      </w:r>
      <w:r>
        <w:rPr>
          <w:szCs w:val="21"/>
        </w:rPr>
        <w:t>受试物的配制：固体受试物需溶解或悬浮于溶剂中，用前稀释至适合浓度；液体受试物可以直接加入试验系统和</w:t>
      </w:r>
      <w:r>
        <w:rPr>
          <w:szCs w:val="21"/>
        </w:rPr>
        <w:t>/</w:t>
      </w:r>
      <w:r>
        <w:rPr>
          <w:szCs w:val="21"/>
        </w:rPr>
        <w:t>或用前稀释至适合浓度。受试物应在使用前新鲜配制，否则就必须证实贮存不影响其稳定性。</w:t>
      </w:r>
    </w:p>
    <w:p w:rsidR="00815371" w:rsidRDefault="00C451AC">
      <w:pPr>
        <w:spacing w:line="300" w:lineRule="auto"/>
        <w:rPr>
          <w:szCs w:val="21"/>
        </w:rPr>
      </w:pPr>
      <w:r>
        <w:rPr>
          <w:szCs w:val="21"/>
        </w:rPr>
        <w:t>5.1.4.2</w:t>
      </w:r>
      <w:r>
        <w:rPr>
          <w:rFonts w:hint="eastAsia"/>
          <w:szCs w:val="21"/>
        </w:rPr>
        <w:t xml:space="preserve"> </w:t>
      </w:r>
      <w:r>
        <w:rPr>
          <w:szCs w:val="21"/>
        </w:rPr>
        <w:t>溶剂的选择：溶剂必须是非致突变物，不与受试物发生化学反应，不影响细胞存活和</w:t>
      </w:r>
      <w:r>
        <w:rPr>
          <w:szCs w:val="21"/>
        </w:rPr>
        <w:t>S</w:t>
      </w:r>
      <w:r w:rsidRPr="007C34D6">
        <w:rPr>
          <w:szCs w:val="21"/>
          <w:vertAlign w:val="subscript"/>
        </w:rPr>
        <w:t>9</w:t>
      </w:r>
      <w:r>
        <w:rPr>
          <w:szCs w:val="21"/>
        </w:rPr>
        <w:t>活性。首选溶剂是培养液（不含血清）或水。二甲基亚砜（</w:t>
      </w:r>
      <w:r>
        <w:rPr>
          <w:szCs w:val="21"/>
        </w:rPr>
        <w:t>DMSO</w:t>
      </w:r>
      <w:r>
        <w:rPr>
          <w:szCs w:val="21"/>
        </w:rPr>
        <w:t>）也是常用溶剂，使用时浓度不应大于</w:t>
      </w:r>
      <w:r>
        <w:rPr>
          <w:szCs w:val="21"/>
        </w:rPr>
        <w:t>0.5%</w:t>
      </w:r>
      <w:r>
        <w:rPr>
          <w:szCs w:val="21"/>
        </w:rPr>
        <w:t>。</w:t>
      </w:r>
    </w:p>
    <w:p w:rsidR="00815371" w:rsidRDefault="00C451AC">
      <w:pPr>
        <w:spacing w:line="300" w:lineRule="auto"/>
        <w:rPr>
          <w:szCs w:val="21"/>
        </w:rPr>
      </w:pPr>
      <w:r>
        <w:rPr>
          <w:szCs w:val="21"/>
        </w:rPr>
        <w:t>5.1.4.3</w:t>
      </w:r>
      <w:r>
        <w:rPr>
          <w:rFonts w:hint="eastAsia"/>
          <w:szCs w:val="21"/>
        </w:rPr>
        <w:t xml:space="preserve"> </w:t>
      </w:r>
      <w:r>
        <w:rPr>
          <w:szCs w:val="21"/>
        </w:rPr>
        <w:t>受试物浓度设置</w:t>
      </w:r>
    </w:p>
    <w:p w:rsidR="00815371" w:rsidRDefault="00C451AC">
      <w:pPr>
        <w:spacing w:line="300" w:lineRule="auto"/>
        <w:ind w:firstLineChars="200" w:firstLine="420"/>
        <w:rPr>
          <w:szCs w:val="21"/>
        </w:rPr>
      </w:pPr>
      <w:r>
        <w:rPr>
          <w:szCs w:val="21"/>
        </w:rPr>
        <w:t>（</w:t>
      </w:r>
      <w:r>
        <w:rPr>
          <w:szCs w:val="21"/>
        </w:rPr>
        <w:t>1</w:t>
      </w:r>
      <w:r>
        <w:rPr>
          <w:szCs w:val="21"/>
        </w:rPr>
        <w:t>）最高浓度的选择：</w:t>
      </w:r>
    </w:p>
    <w:p w:rsidR="00815371" w:rsidRDefault="00C451AC">
      <w:pPr>
        <w:spacing w:line="300" w:lineRule="auto"/>
        <w:ind w:firstLineChars="200" w:firstLine="420"/>
        <w:rPr>
          <w:szCs w:val="21"/>
        </w:rPr>
      </w:pPr>
      <w:r>
        <w:rPr>
          <w:szCs w:val="21"/>
        </w:rPr>
        <w:t>决定最高浓度的因素是细胞毒性、受试物在试验系统中的溶解度以及</w:t>
      </w:r>
      <w:r>
        <w:rPr>
          <w:szCs w:val="21"/>
        </w:rPr>
        <w:t>pH</w:t>
      </w:r>
      <w:r>
        <w:rPr>
          <w:szCs w:val="21"/>
        </w:rPr>
        <w:t>或渗透压摩尔浓度</w:t>
      </w:r>
      <w:r>
        <w:rPr>
          <w:rFonts w:hint="eastAsia"/>
          <w:szCs w:val="21"/>
        </w:rPr>
        <w:t>（</w:t>
      </w:r>
      <w:r>
        <w:rPr>
          <w:szCs w:val="21"/>
        </w:rPr>
        <w:t>osmolality</w:t>
      </w:r>
      <w:r>
        <w:rPr>
          <w:rFonts w:hint="eastAsia"/>
          <w:szCs w:val="21"/>
        </w:rPr>
        <w:t>）</w:t>
      </w:r>
      <w:r>
        <w:rPr>
          <w:szCs w:val="21"/>
        </w:rPr>
        <w:t>的改变。应通过</w:t>
      </w:r>
      <w:proofErr w:type="gramStart"/>
      <w:r>
        <w:rPr>
          <w:szCs w:val="21"/>
        </w:rPr>
        <w:t>预试验</w:t>
      </w:r>
      <w:proofErr w:type="gramEnd"/>
      <w:r>
        <w:rPr>
          <w:szCs w:val="21"/>
        </w:rPr>
        <w:t>获得正式试验的最高受试物浓度。</w:t>
      </w:r>
    </w:p>
    <w:p w:rsidR="00815371" w:rsidRDefault="00C451AC">
      <w:pPr>
        <w:spacing w:line="300" w:lineRule="auto"/>
        <w:ind w:firstLineChars="200" w:firstLine="420"/>
        <w:rPr>
          <w:szCs w:val="21"/>
        </w:rPr>
      </w:pPr>
      <w:r>
        <w:rPr>
          <w:szCs w:val="21"/>
        </w:rPr>
        <w:t>（</w:t>
      </w:r>
      <w:r>
        <w:rPr>
          <w:szCs w:val="21"/>
        </w:rPr>
        <w:t>2</w:t>
      </w:r>
      <w:r>
        <w:rPr>
          <w:szCs w:val="21"/>
        </w:rPr>
        <w:t>）细胞毒性的确定：</w:t>
      </w:r>
    </w:p>
    <w:p w:rsidR="00815371" w:rsidRDefault="00C451AC">
      <w:pPr>
        <w:spacing w:line="300" w:lineRule="auto"/>
        <w:ind w:firstLineChars="200" w:firstLine="420"/>
        <w:rPr>
          <w:szCs w:val="21"/>
        </w:rPr>
      </w:pPr>
      <w:r>
        <w:rPr>
          <w:szCs w:val="21"/>
        </w:rPr>
        <w:t>应使用指示细胞完整性和生长情况的指标，在活化系统存在或不存在的两种条件下确定细胞毒性，例如细胞融合度（</w:t>
      </w:r>
      <w:r>
        <w:rPr>
          <w:szCs w:val="21"/>
        </w:rPr>
        <w:t xml:space="preserve">degree of </w:t>
      </w:r>
      <w:proofErr w:type="spellStart"/>
      <w:r>
        <w:rPr>
          <w:szCs w:val="21"/>
        </w:rPr>
        <w:t>confluency</w:t>
      </w:r>
      <w:proofErr w:type="spellEnd"/>
      <w:r>
        <w:rPr>
          <w:szCs w:val="21"/>
        </w:rPr>
        <w:t>）、存活细胞计数（</w:t>
      </w:r>
      <w:r>
        <w:rPr>
          <w:szCs w:val="21"/>
        </w:rPr>
        <w:t>viable cell counts</w:t>
      </w:r>
      <w:r>
        <w:rPr>
          <w:szCs w:val="21"/>
        </w:rPr>
        <w:t>）或有</w:t>
      </w:r>
      <w:r>
        <w:rPr>
          <w:szCs w:val="21"/>
        </w:rPr>
        <w:lastRenderedPageBreak/>
        <w:t>丝分裂指数（</w:t>
      </w:r>
      <w:r>
        <w:rPr>
          <w:szCs w:val="21"/>
        </w:rPr>
        <w:t>mitotic index</w:t>
      </w:r>
      <w:r>
        <w:rPr>
          <w:szCs w:val="21"/>
        </w:rPr>
        <w:t>）。应在</w:t>
      </w:r>
      <w:proofErr w:type="gramStart"/>
      <w:r>
        <w:rPr>
          <w:szCs w:val="21"/>
        </w:rPr>
        <w:t>预试验</w:t>
      </w:r>
      <w:proofErr w:type="gramEnd"/>
      <w:r>
        <w:rPr>
          <w:szCs w:val="21"/>
        </w:rPr>
        <w:t>中确定细胞毒性和溶解度。</w:t>
      </w:r>
    </w:p>
    <w:p w:rsidR="00815371" w:rsidRDefault="00C451AC">
      <w:pPr>
        <w:spacing w:line="300" w:lineRule="auto"/>
        <w:ind w:firstLineChars="200" w:firstLine="420"/>
        <w:rPr>
          <w:szCs w:val="21"/>
        </w:rPr>
      </w:pPr>
      <w:r>
        <w:rPr>
          <w:szCs w:val="21"/>
        </w:rPr>
        <w:t>（</w:t>
      </w:r>
      <w:r>
        <w:rPr>
          <w:szCs w:val="21"/>
        </w:rPr>
        <w:t>3</w:t>
      </w:r>
      <w:r>
        <w:rPr>
          <w:szCs w:val="21"/>
        </w:rPr>
        <w:t>）剂量设置：</w:t>
      </w:r>
    </w:p>
    <w:p w:rsidR="00815371" w:rsidRDefault="00C451AC">
      <w:pPr>
        <w:spacing w:line="300" w:lineRule="auto"/>
        <w:ind w:firstLineChars="200" w:firstLine="420"/>
        <w:rPr>
          <w:szCs w:val="21"/>
        </w:rPr>
      </w:pPr>
      <w:r>
        <w:rPr>
          <w:rFonts w:ascii="宋体" w:hAnsi="宋体" w:cs="宋体" w:hint="eastAsia"/>
          <w:szCs w:val="21"/>
        </w:rPr>
        <w:t>①</w:t>
      </w:r>
      <w:r>
        <w:rPr>
          <w:szCs w:val="21"/>
        </w:rPr>
        <w:t>至少应设置</w:t>
      </w:r>
      <w:r>
        <w:rPr>
          <w:szCs w:val="21"/>
        </w:rPr>
        <w:t>3</w:t>
      </w:r>
      <w:r>
        <w:rPr>
          <w:szCs w:val="21"/>
        </w:rPr>
        <w:t>个可供分析的浓度。当有细胞毒性时，其浓度范围应包括从最大毒性至几乎无毒性；通常浓度间隔系数不大于</w:t>
      </w:r>
      <w:r>
        <w:rPr>
          <w:szCs w:val="21"/>
        </w:rPr>
        <w:t>2</w:t>
      </w:r>
      <w:r>
        <w:rPr>
          <w:rFonts w:hint="eastAsia"/>
          <w:szCs w:val="21"/>
        </w:rPr>
        <w:t xml:space="preserve"> </w:t>
      </w:r>
      <w:r>
        <w:rPr>
          <w:szCs w:val="21"/>
        </w:rPr>
        <w:t>～</w:t>
      </w:r>
      <w:r>
        <w:rPr>
          <w:position w:val="-8"/>
          <w:szCs w:val="21"/>
        </w:rPr>
        <w:object w:dxaOrig="408" w:dyaOrig="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6.5pt" o:ole="">
            <v:imagedata r:id="rId8" o:title=""/>
          </v:shape>
          <o:OLEObject Type="Embed" ProgID="Equation.3" ShapeID="_x0000_i1025" DrawAspect="Content" ObjectID="_1821854898" r:id="rId9"/>
        </w:object>
      </w:r>
      <w:r>
        <w:rPr>
          <w:szCs w:val="21"/>
        </w:rPr>
        <w:t>。</w:t>
      </w:r>
    </w:p>
    <w:p w:rsidR="00815371" w:rsidRDefault="00C451AC">
      <w:pPr>
        <w:spacing w:line="300" w:lineRule="auto"/>
        <w:ind w:firstLineChars="200" w:firstLine="420"/>
        <w:rPr>
          <w:szCs w:val="21"/>
        </w:rPr>
      </w:pPr>
      <w:r>
        <w:rPr>
          <w:rFonts w:ascii="宋体" w:hAnsi="宋体" w:cs="宋体" w:hint="eastAsia"/>
          <w:szCs w:val="21"/>
        </w:rPr>
        <w:t>②</w:t>
      </w:r>
      <w:r>
        <w:rPr>
          <w:szCs w:val="21"/>
        </w:rPr>
        <w:t>在收获细胞时，最高浓度原则上应达到</w:t>
      </w:r>
      <w:r>
        <w:rPr>
          <w:szCs w:val="21"/>
        </w:rPr>
        <w:t>55</w:t>
      </w:r>
      <w:r>
        <w:rPr>
          <w:rFonts w:hint="eastAsia"/>
          <w:szCs w:val="21"/>
        </w:rPr>
        <w:t xml:space="preserve"> </w:t>
      </w:r>
      <w:r>
        <w:rPr>
          <w:szCs w:val="21"/>
        </w:rPr>
        <w:t>± 5%</w:t>
      </w:r>
      <w:r>
        <w:rPr>
          <w:szCs w:val="21"/>
        </w:rPr>
        <w:t>细胞毒性的剂量（</w:t>
      </w:r>
      <w:bookmarkStart w:id="10" w:name="OLE_LINK2"/>
      <w:bookmarkStart w:id="11" w:name="OLE_LINK1"/>
      <w:r>
        <w:rPr>
          <w:szCs w:val="21"/>
        </w:rPr>
        <w:t>细胞融合度、细胞计数</w:t>
      </w:r>
      <w:bookmarkEnd w:id="10"/>
      <w:bookmarkEnd w:id="11"/>
      <w:r>
        <w:rPr>
          <w:szCs w:val="21"/>
        </w:rPr>
        <w:t>明显降低，或原代培养的淋巴细胞有丝分裂指数降低到阴性对照组的</w:t>
      </w:r>
      <w:r>
        <w:rPr>
          <w:szCs w:val="21"/>
        </w:rPr>
        <w:t>45 ± 5%</w:t>
      </w:r>
      <w:r>
        <w:rPr>
          <w:szCs w:val="21"/>
        </w:rPr>
        <w:t>）。</w:t>
      </w:r>
    </w:p>
    <w:p w:rsidR="00815371" w:rsidRDefault="00C451AC">
      <w:pPr>
        <w:spacing w:line="300" w:lineRule="auto"/>
        <w:ind w:firstLineChars="200" w:firstLine="420"/>
        <w:rPr>
          <w:szCs w:val="21"/>
        </w:rPr>
      </w:pPr>
      <w:r>
        <w:rPr>
          <w:rFonts w:ascii="宋体" w:hAnsi="宋体" w:cs="宋体" w:hint="eastAsia"/>
          <w:szCs w:val="21"/>
        </w:rPr>
        <w:t>③</w:t>
      </w:r>
      <w:r>
        <w:rPr>
          <w:szCs w:val="21"/>
        </w:rPr>
        <w:t>对于那些相对无细胞毒性的物质，最高浓度应是</w:t>
      </w:r>
      <w:r>
        <w:rPr>
          <w:szCs w:val="21"/>
        </w:rPr>
        <w:t>5 μL/mL</w:t>
      </w:r>
      <w:r>
        <w:rPr>
          <w:szCs w:val="21"/>
        </w:rPr>
        <w:t>，</w:t>
      </w:r>
      <w:r>
        <w:rPr>
          <w:szCs w:val="21"/>
        </w:rPr>
        <w:t>5 mg/mL</w:t>
      </w:r>
      <w:r>
        <w:rPr>
          <w:szCs w:val="21"/>
        </w:rPr>
        <w:t>或</w:t>
      </w:r>
      <w:r>
        <w:rPr>
          <w:szCs w:val="21"/>
        </w:rPr>
        <w:t>0.01 mol/L</w:t>
      </w:r>
      <w:r>
        <w:rPr>
          <w:szCs w:val="21"/>
        </w:rPr>
        <w:t>。</w:t>
      </w:r>
    </w:p>
    <w:p w:rsidR="00815371" w:rsidRDefault="00C451AC">
      <w:pPr>
        <w:spacing w:line="300" w:lineRule="auto"/>
        <w:ind w:firstLineChars="200" w:firstLine="420"/>
        <w:rPr>
          <w:szCs w:val="21"/>
        </w:rPr>
      </w:pPr>
      <w:r>
        <w:rPr>
          <w:rFonts w:ascii="宋体" w:hAnsi="宋体" w:cs="宋体" w:hint="eastAsia"/>
          <w:szCs w:val="21"/>
        </w:rPr>
        <w:t>④</w:t>
      </w:r>
      <w:r>
        <w:rPr>
          <w:szCs w:val="21"/>
        </w:rPr>
        <w:t>对于相对不溶解的物质，当浓度低于不溶解浓度时仍无毒性，则最高剂量应是当处理期结束时，在最终培养液中溶解度限值以上的一个浓度。在某些情况下（即仅当高于最低不溶解浓度时才发生细胞毒性），应使用一个以上可看见沉淀的浓度。最好在试验处理开始和结束时均评价溶解度，因为由于细胞、</w:t>
      </w:r>
      <w:r>
        <w:rPr>
          <w:szCs w:val="21"/>
        </w:rPr>
        <w:t>S</w:t>
      </w:r>
      <w:r w:rsidRPr="007C34D6">
        <w:rPr>
          <w:szCs w:val="21"/>
          <w:vertAlign w:val="subscript"/>
        </w:rPr>
        <w:t>9</w:t>
      </w:r>
      <w:r>
        <w:rPr>
          <w:szCs w:val="21"/>
        </w:rPr>
        <w:t>等的存在，在试验系统内在暴露过程中溶解度可能变化。不溶解性可用肉眼鉴别，但沉淀不能影响观察。</w:t>
      </w:r>
    </w:p>
    <w:p w:rsidR="00815371" w:rsidRDefault="00C451AC">
      <w:pPr>
        <w:spacing w:line="300" w:lineRule="auto"/>
        <w:rPr>
          <w:szCs w:val="21"/>
        </w:rPr>
      </w:pPr>
      <w:r>
        <w:rPr>
          <w:szCs w:val="21"/>
        </w:rPr>
        <w:t>5.1.5</w:t>
      </w:r>
      <w:r>
        <w:rPr>
          <w:rFonts w:hint="eastAsia"/>
          <w:szCs w:val="21"/>
        </w:rPr>
        <w:t xml:space="preserve"> </w:t>
      </w:r>
      <w:r>
        <w:rPr>
          <w:szCs w:val="21"/>
        </w:rPr>
        <w:t>培养液：采用</w:t>
      </w:r>
      <w:r>
        <w:rPr>
          <w:szCs w:val="21"/>
        </w:rPr>
        <w:t>MEM</w:t>
      </w:r>
      <w:r>
        <w:rPr>
          <w:szCs w:val="21"/>
        </w:rPr>
        <w:t>（</w:t>
      </w:r>
      <w:r>
        <w:rPr>
          <w:szCs w:val="21"/>
        </w:rPr>
        <w:t>Eagle</w:t>
      </w:r>
      <w:r>
        <w:rPr>
          <w:szCs w:val="21"/>
        </w:rPr>
        <w:t>），并加入非必需氨基酸和抗菌素（青霉素，最终工作浓度为</w:t>
      </w:r>
      <w:r>
        <w:rPr>
          <w:szCs w:val="21"/>
        </w:rPr>
        <w:t>100 IU/mL</w:t>
      </w:r>
      <w:r>
        <w:rPr>
          <w:szCs w:val="21"/>
        </w:rPr>
        <w:t>；链霉素，最终工作浓度为</w:t>
      </w:r>
      <w:r>
        <w:rPr>
          <w:szCs w:val="21"/>
        </w:rPr>
        <w:t>100 μg/mL</w:t>
      </w:r>
      <w:r>
        <w:rPr>
          <w:szCs w:val="21"/>
        </w:rPr>
        <w:t>），胎牛血清或小牛血清按</w:t>
      </w:r>
      <w:r>
        <w:rPr>
          <w:szCs w:val="21"/>
        </w:rPr>
        <w:t>10%</w:t>
      </w:r>
      <w:r>
        <w:rPr>
          <w:szCs w:val="21"/>
        </w:rPr>
        <w:t>加入。也可选用其他合适的培养液。</w:t>
      </w:r>
    </w:p>
    <w:p w:rsidR="00815371" w:rsidRDefault="00C451AC">
      <w:pPr>
        <w:spacing w:line="300" w:lineRule="auto"/>
        <w:rPr>
          <w:szCs w:val="21"/>
        </w:rPr>
      </w:pPr>
      <w:r>
        <w:rPr>
          <w:szCs w:val="21"/>
        </w:rPr>
        <w:t>5.1.6</w:t>
      </w:r>
      <w:r>
        <w:rPr>
          <w:rFonts w:hint="eastAsia"/>
          <w:szCs w:val="21"/>
        </w:rPr>
        <w:t xml:space="preserve"> </w:t>
      </w:r>
      <w:r>
        <w:rPr>
          <w:szCs w:val="21"/>
        </w:rPr>
        <w:t>活化系统</w:t>
      </w:r>
    </w:p>
    <w:p w:rsidR="00815371" w:rsidRDefault="00C451AC" w:rsidP="00407B2B">
      <w:pPr>
        <w:spacing w:line="300" w:lineRule="auto"/>
        <w:ind w:firstLineChars="200" w:firstLine="420"/>
        <w:rPr>
          <w:szCs w:val="21"/>
        </w:rPr>
      </w:pPr>
      <w:r>
        <w:rPr>
          <w:szCs w:val="21"/>
        </w:rPr>
        <w:t>通常使用</w:t>
      </w:r>
      <w:r w:rsidR="007C34D6">
        <w:rPr>
          <w:szCs w:val="21"/>
        </w:rPr>
        <w:t>S</w:t>
      </w:r>
      <w:r w:rsidR="007C34D6" w:rsidRPr="007C34D6">
        <w:rPr>
          <w:szCs w:val="21"/>
          <w:vertAlign w:val="subscript"/>
        </w:rPr>
        <w:t>9</w:t>
      </w:r>
      <w:r>
        <w:rPr>
          <w:szCs w:val="21"/>
        </w:rPr>
        <w:t>混合物（</w:t>
      </w:r>
      <w:r w:rsidR="007C34D6">
        <w:rPr>
          <w:szCs w:val="21"/>
        </w:rPr>
        <w:t>S</w:t>
      </w:r>
      <w:r w:rsidR="007C34D6" w:rsidRPr="007C34D6">
        <w:rPr>
          <w:szCs w:val="21"/>
          <w:vertAlign w:val="subscript"/>
        </w:rPr>
        <w:t>9</w:t>
      </w:r>
      <w:r>
        <w:rPr>
          <w:szCs w:val="21"/>
        </w:rPr>
        <w:t xml:space="preserve"> mix</w:t>
      </w:r>
      <w:r>
        <w:rPr>
          <w:szCs w:val="21"/>
        </w:rPr>
        <w:t>）。</w:t>
      </w:r>
      <w:r w:rsidR="007C34D6">
        <w:rPr>
          <w:szCs w:val="21"/>
        </w:rPr>
        <w:t>S</w:t>
      </w:r>
      <w:r w:rsidR="007C34D6" w:rsidRPr="007C34D6">
        <w:rPr>
          <w:szCs w:val="21"/>
          <w:vertAlign w:val="subscript"/>
        </w:rPr>
        <w:t>9</w:t>
      </w:r>
      <w:r>
        <w:rPr>
          <w:szCs w:val="21"/>
        </w:rPr>
        <w:t>是从经酶诱导剂（</w:t>
      </w:r>
      <w:proofErr w:type="spellStart"/>
      <w:r>
        <w:rPr>
          <w:szCs w:val="21"/>
        </w:rPr>
        <w:t>Aroclor</w:t>
      </w:r>
      <w:proofErr w:type="spellEnd"/>
      <w:r>
        <w:rPr>
          <w:szCs w:val="21"/>
        </w:rPr>
        <w:t xml:space="preserve"> 1254</w:t>
      </w:r>
      <w:r>
        <w:rPr>
          <w:szCs w:val="21"/>
        </w:rPr>
        <w:t>或苯巴比妥钠和</w:t>
      </w:r>
      <w:r>
        <w:rPr>
          <w:szCs w:val="21"/>
        </w:rPr>
        <w:t>β-</w:t>
      </w:r>
      <w:proofErr w:type="gramStart"/>
      <w:r>
        <w:rPr>
          <w:szCs w:val="21"/>
        </w:rPr>
        <w:t>萘</w:t>
      </w:r>
      <w:proofErr w:type="gramEnd"/>
      <w:r>
        <w:rPr>
          <w:szCs w:val="21"/>
        </w:rPr>
        <w:t>黄酮联合使用）处理的啮齿动物肝脏获得的。</w:t>
      </w:r>
      <w:r w:rsidR="007C34D6">
        <w:rPr>
          <w:szCs w:val="21"/>
        </w:rPr>
        <w:t>S</w:t>
      </w:r>
      <w:r w:rsidR="007C34D6" w:rsidRPr="007C34D6">
        <w:rPr>
          <w:szCs w:val="21"/>
          <w:vertAlign w:val="subscript"/>
        </w:rPr>
        <w:t>9</w:t>
      </w:r>
      <w:r>
        <w:rPr>
          <w:szCs w:val="21"/>
        </w:rPr>
        <w:t>的使用浓度为</w:t>
      </w:r>
      <w:r>
        <w:rPr>
          <w:szCs w:val="21"/>
        </w:rPr>
        <w:t>1%</w:t>
      </w:r>
      <w:r>
        <w:rPr>
          <w:szCs w:val="21"/>
        </w:rPr>
        <w:t>～</w:t>
      </w:r>
      <w:r>
        <w:rPr>
          <w:szCs w:val="21"/>
        </w:rPr>
        <w:t>10%</w:t>
      </w:r>
      <w:r>
        <w:rPr>
          <w:szCs w:val="21"/>
        </w:rPr>
        <w:t>（终浓度）。</w:t>
      </w:r>
      <w:r w:rsidR="007C34D6">
        <w:rPr>
          <w:szCs w:val="21"/>
        </w:rPr>
        <w:t>S</w:t>
      </w:r>
      <w:r w:rsidR="007C34D6" w:rsidRPr="007C34D6">
        <w:rPr>
          <w:szCs w:val="21"/>
          <w:vertAlign w:val="subscript"/>
        </w:rPr>
        <w:t>9</w:t>
      </w:r>
      <w:r>
        <w:rPr>
          <w:szCs w:val="21"/>
        </w:rPr>
        <w:t xml:space="preserve"> mix</w:t>
      </w:r>
      <w:r>
        <w:rPr>
          <w:szCs w:val="21"/>
        </w:rPr>
        <w:t>中所加辅助因子的量由各实验室自行决定，但需对</w:t>
      </w:r>
      <w:r w:rsidR="007C34D6">
        <w:rPr>
          <w:szCs w:val="21"/>
        </w:rPr>
        <w:t>S</w:t>
      </w:r>
      <w:r w:rsidR="007C34D6" w:rsidRPr="007C34D6">
        <w:rPr>
          <w:szCs w:val="21"/>
          <w:vertAlign w:val="subscript"/>
        </w:rPr>
        <w:t>9</w:t>
      </w:r>
      <w:r>
        <w:rPr>
          <w:szCs w:val="21"/>
        </w:rPr>
        <w:t xml:space="preserve"> mix</w:t>
      </w:r>
      <w:r>
        <w:rPr>
          <w:szCs w:val="21"/>
        </w:rPr>
        <w:t>的活性进行鉴定，必须能明显活化阳性对照物。也可使用下述方法配制：</w:t>
      </w:r>
      <w:r w:rsidR="007C34D6">
        <w:rPr>
          <w:szCs w:val="21"/>
        </w:rPr>
        <w:t>S</w:t>
      </w:r>
      <w:r w:rsidR="007C34D6" w:rsidRPr="007C34D6">
        <w:rPr>
          <w:szCs w:val="21"/>
          <w:vertAlign w:val="subscript"/>
        </w:rPr>
        <w:t>9</w:t>
      </w:r>
      <w:r>
        <w:rPr>
          <w:rFonts w:hint="eastAsia"/>
          <w:szCs w:val="21"/>
        </w:rPr>
        <w:t xml:space="preserve"> </w:t>
      </w:r>
      <w:r>
        <w:rPr>
          <w:szCs w:val="21"/>
        </w:rPr>
        <w:t>0.125 mL</w:t>
      </w:r>
      <w:r>
        <w:rPr>
          <w:szCs w:val="21"/>
        </w:rPr>
        <w:t>，</w:t>
      </w:r>
      <w:r>
        <w:rPr>
          <w:szCs w:val="21"/>
        </w:rPr>
        <w:t>MgC1</w:t>
      </w:r>
      <w:r>
        <w:rPr>
          <w:szCs w:val="21"/>
          <w:vertAlign w:val="subscript"/>
        </w:rPr>
        <w:t>2</w:t>
      </w:r>
      <w:r>
        <w:rPr>
          <w:szCs w:val="21"/>
        </w:rPr>
        <w:t>（</w:t>
      </w:r>
      <w:r>
        <w:rPr>
          <w:szCs w:val="21"/>
        </w:rPr>
        <w:t>0.4 mol/L</w:t>
      </w:r>
      <w:r>
        <w:rPr>
          <w:szCs w:val="21"/>
        </w:rPr>
        <w:t>）</w:t>
      </w:r>
      <w:r>
        <w:rPr>
          <w:szCs w:val="21"/>
        </w:rPr>
        <w:t>0.02 mL</w:t>
      </w:r>
      <w:r>
        <w:rPr>
          <w:szCs w:val="21"/>
        </w:rPr>
        <w:t>，</w:t>
      </w:r>
      <w:r>
        <w:rPr>
          <w:szCs w:val="21"/>
        </w:rPr>
        <w:t>KC1</w:t>
      </w:r>
      <w:r>
        <w:rPr>
          <w:szCs w:val="21"/>
        </w:rPr>
        <w:t>（</w:t>
      </w:r>
      <w:r>
        <w:rPr>
          <w:szCs w:val="21"/>
        </w:rPr>
        <w:t>1.65 mol/L</w:t>
      </w:r>
      <w:r>
        <w:rPr>
          <w:szCs w:val="21"/>
        </w:rPr>
        <w:t>）</w:t>
      </w:r>
      <w:r>
        <w:rPr>
          <w:szCs w:val="21"/>
        </w:rPr>
        <w:t>0.02 mL</w:t>
      </w:r>
      <w:r>
        <w:rPr>
          <w:szCs w:val="21"/>
        </w:rPr>
        <w:t>，葡萄糖</w:t>
      </w:r>
      <w:r>
        <w:rPr>
          <w:szCs w:val="21"/>
        </w:rPr>
        <w:t>-6-</w:t>
      </w:r>
      <w:r>
        <w:rPr>
          <w:szCs w:val="21"/>
        </w:rPr>
        <w:t>磷酸</w:t>
      </w:r>
      <w:r>
        <w:rPr>
          <w:szCs w:val="21"/>
        </w:rPr>
        <w:t>1.791 mg</w:t>
      </w:r>
      <w:r>
        <w:rPr>
          <w:szCs w:val="21"/>
        </w:rPr>
        <w:t>，辅酶</w:t>
      </w:r>
      <w:r>
        <w:rPr>
          <w:rFonts w:ascii="宋体" w:hAnsi="宋体" w:cs="宋体" w:hint="eastAsia"/>
          <w:szCs w:val="21"/>
        </w:rPr>
        <w:t>Ⅱ</w:t>
      </w:r>
      <w:r>
        <w:rPr>
          <w:szCs w:val="21"/>
        </w:rPr>
        <w:t>（氧化型，</w:t>
      </w:r>
      <w:r>
        <w:rPr>
          <w:szCs w:val="21"/>
        </w:rPr>
        <w:t>NADP</w:t>
      </w:r>
      <w:r>
        <w:rPr>
          <w:szCs w:val="21"/>
        </w:rPr>
        <w:t>）</w:t>
      </w:r>
      <w:r>
        <w:rPr>
          <w:szCs w:val="21"/>
        </w:rPr>
        <w:t>3.0615 mg</w:t>
      </w:r>
      <w:r>
        <w:rPr>
          <w:szCs w:val="21"/>
        </w:rPr>
        <w:t>，用无血清</w:t>
      </w:r>
      <w:r>
        <w:rPr>
          <w:szCs w:val="21"/>
        </w:rPr>
        <w:t>MEM</w:t>
      </w:r>
      <w:r>
        <w:rPr>
          <w:szCs w:val="21"/>
        </w:rPr>
        <w:t>培养液补足至</w:t>
      </w:r>
      <w:r>
        <w:rPr>
          <w:szCs w:val="21"/>
        </w:rPr>
        <w:t>1 mL</w:t>
      </w:r>
      <w:r>
        <w:rPr>
          <w:szCs w:val="21"/>
        </w:rPr>
        <w:t>。</w:t>
      </w:r>
    </w:p>
    <w:p w:rsidR="00815371" w:rsidRDefault="00C451AC">
      <w:pPr>
        <w:spacing w:beforeLines="50" w:before="156" w:afterLines="50" w:after="156" w:line="300" w:lineRule="auto"/>
        <w:rPr>
          <w:szCs w:val="21"/>
        </w:rPr>
      </w:pPr>
      <w:r>
        <w:rPr>
          <w:szCs w:val="21"/>
        </w:rPr>
        <w:t>5.2</w:t>
      </w:r>
      <w:r>
        <w:rPr>
          <w:rFonts w:hint="eastAsia"/>
          <w:szCs w:val="21"/>
        </w:rPr>
        <w:t xml:space="preserve"> </w:t>
      </w:r>
      <w:r>
        <w:rPr>
          <w:szCs w:val="21"/>
        </w:rPr>
        <w:t>试验步骤</w:t>
      </w:r>
    </w:p>
    <w:p w:rsidR="00815371" w:rsidRDefault="00C451AC">
      <w:pPr>
        <w:spacing w:line="300" w:lineRule="auto"/>
        <w:rPr>
          <w:szCs w:val="21"/>
        </w:rPr>
      </w:pPr>
      <w:r>
        <w:rPr>
          <w:szCs w:val="21"/>
        </w:rPr>
        <w:t>5.2.1</w:t>
      </w:r>
      <w:r>
        <w:rPr>
          <w:rFonts w:hint="eastAsia"/>
          <w:szCs w:val="21"/>
        </w:rPr>
        <w:t xml:space="preserve"> </w:t>
      </w:r>
      <w:r>
        <w:rPr>
          <w:szCs w:val="21"/>
        </w:rPr>
        <w:t>细胞：可使用已建立的细胞株或细胞系，也可使用原代培养细胞。所使用的细胞应该在生长性能、染色体数目和核型、自发的染色体畸变率等方面有一定的稳定性。需定期检查细胞株的核型和染色体数目，检测有无支原体污染等。可使用</w:t>
      </w:r>
      <w:r>
        <w:rPr>
          <w:color w:val="0F1115"/>
          <w:shd w:val="clear" w:color="auto" w:fill="FFFFFF"/>
        </w:rPr>
        <w:t>多种细胞系，如中国仓鼠卵巢细胞（</w:t>
      </w:r>
      <w:r>
        <w:rPr>
          <w:color w:val="0F1115"/>
          <w:shd w:val="clear" w:color="auto" w:fill="FFFFFF"/>
        </w:rPr>
        <w:t>CHO</w:t>
      </w:r>
      <w:r>
        <w:rPr>
          <w:color w:val="0F1115"/>
          <w:shd w:val="clear" w:color="auto" w:fill="FFFFFF"/>
        </w:rPr>
        <w:t>）、中国仓鼠肺细胞</w:t>
      </w:r>
      <w:r>
        <w:rPr>
          <w:color w:val="0F1115"/>
          <w:shd w:val="clear" w:color="auto" w:fill="FFFFFF"/>
        </w:rPr>
        <w:t>V79</w:t>
      </w:r>
      <w:r>
        <w:rPr>
          <w:color w:val="0F1115"/>
          <w:shd w:val="clear" w:color="auto" w:fill="FFFFFF"/>
        </w:rPr>
        <w:t>、中国仓鼠肺细胞（</w:t>
      </w:r>
      <w:r>
        <w:rPr>
          <w:color w:val="0F1115"/>
          <w:shd w:val="clear" w:color="auto" w:fill="FFFFFF"/>
        </w:rPr>
        <w:t>CHL</w:t>
      </w:r>
      <w:r>
        <w:rPr>
          <w:color w:val="0F1115"/>
          <w:shd w:val="clear" w:color="auto" w:fill="FFFFFF"/>
        </w:rPr>
        <w:t>）</w:t>
      </w:r>
      <w:r>
        <w:rPr>
          <w:color w:val="0F1115"/>
          <w:shd w:val="clear" w:color="auto" w:fill="FFFFFF"/>
        </w:rPr>
        <w:t>/IU</w:t>
      </w:r>
      <w:r>
        <w:rPr>
          <w:color w:val="0F1115"/>
          <w:shd w:val="clear" w:color="auto" w:fill="FFFFFF"/>
        </w:rPr>
        <w:t>、</w:t>
      </w:r>
      <w:r>
        <w:rPr>
          <w:color w:val="0F1115"/>
          <w:shd w:val="clear" w:color="auto" w:fill="FFFFFF"/>
        </w:rPr>
        <w:t>TK6</w:t>
      </w:r>
      <w:r>
        <w:rPr>
          <w:color w:val="0F1115"/>
          <w:shd w:val="clear" w:color="auto" w:fill="FFFFFF"/>
        </w:rPr>
        <w:t>或原代细胞培养物（包括人类或其他哺乳动物的外周血淋巴细胞）。所用细胞系的选择应具有科学依据。</w:t>
      </w:r>
      <w:r>
        <w:rPr>
          <w:szCs w:val="21"/>
        </w:rPr>
        <w:t>当使用原代细胞时，出于动物福利的考虑</w:t>
      </w:r>
      <w:r>
        <w:rPr>
          <w:color w:val="0F1115"/>
          <w:shd w:val="clear" w:color="auto" w:fill="FFFFFF"/>
        </w:rPr>
        <w:t>在可行且符合人体伦理原则与法规的前提下，优先考虑使用人源原代细胞</w:t>
      </w:r>
      <w:r>
        <w:rPr>
          <w:szCs w:val="21"/>
        </w:rPr>
        <w:t>。</w:t>
      </w:r>
    </w:p>
    <w:p w:rsidR="00815371" w:rsidRDefault="00C451AC">
      <w:pPr>
        <w:spacing w:line="300" w:lineRule="auto"/>
        <w:rPr>
          <w:szCs w:val="21"/>
        </w:rPr>
      </w:pPr>
      <w:r>
        <w:rPr>
          <w:szCs w:val="21"/>
        </w:rPr>
        <w:t>5.2.2</w:t>
      </w:r>
      <w:r>
        <w:rPr>
          <w:rFonts w:hint="eastAsia"/>
          <w:szCs w:val="21"/>
        </w:rPr>
        <w:t xml:space="preserve"> </w:t>
      </w:r>
      <w:r>
        <w:rPr>
          <w:szCs w:val="21"/>
        </w:rPr>
        <w:t>试验时，应同时设阳性对照</w:t>
      </w:r>
      <w:r>
        <w:rPr>
          <w:rFonts w:hint="eastAsia"/>
          <w:szCs w:val="21"/>
        </w:rPr>
        <w:t>、</w:t>
      </w:r>
      <w:r>
        <w:rPr>
          <w:szCs w:val="21"/>
        </w:rPr>
        <w:t>阴性对照和至少</w:t>
      </w:r>
      <w:r>
        <w:rPr>
          <w:szCs w:val="21"/>
        </w:rPr>
        <w:t>3</w:t>
      </w:r>
      <w:r>
        <w:rPr>
          <w:szCs w:val="21"/>
        </w:rPr>
        <w:t>个可供分析的受试物浓度组。必要时，应增设空白对照。</w:t>
      </w:r>
    </w:p>
    <w:p w:rsidR="00815371" w:rsidRDefault="00C451AC">
      <w:pPr>
        <w:spacing w:line="300" w:lineRule="auto"/>
        <w:rPr>
          <w:szCs w:val="21"/>
        </w:rPr>
      </w:pPr>
      <w:r>
        <w:rPr>
          <w:szCs w:val="21"/>
        </w:rPr>
        <w:t>5.2.3</w:t>
      </w:r>
      <w:r>
        <w:rPr>
          <w:rFonts w:hint="eastAsia"/>
          <w:szCs w:val="21"/>
        </w:rPr>
        <w:t xml:space="preserve"> </w:t>
      </w:r>
      <w:r>
        <w:rPr>
          <w:szCs w:val="21"/>
        </w:rPr>
        <w:t>试验前一天，将一定数量的细胞接种于培养皿（瓶）中</w:t>
      </w:r>
      <w:r>
        <w:rPr>
          <w:rFonts w:hint="eastAsia"/>
          <w:szCs w:val="21"/>
        </w:rPr>
        <w:t>，</w:t>
      </w:r>
      <w:r>
        <w:rPr>
          <w:szCs w:val="21"/>
        </w:rPr>
        <w:t>以收获细胞时，培养皿（瓶）的细胞未长满为标准，一般以长到</w:t>
      </w:r>
      <w:r>
        <w:rPr>
          <w:szCs w:val="21"/>
        </w:rPr>
        <w:t>85</w:t>
      </w:r>
      <w:r>
        <w:rPr>
          <w:szCs w:val="21"/>
        </w:rPr>
        <w:t>％左右为佳</w:t>
      </w:r>
      <w:r>
        <w:rPr>
          <w:rFonts w:hint="eastAsia"/>
          <w:szCs w:val="21"/>
        </w:rPr>
        <w:t>。</w:t>
      </w:r>
      <w:r>
        <w:rPr>
          <w:szCs w:val="21"/>
        </w:rPr>
        <w:t>如用</w:t>
      </w:r>
      <w:r>
        <w:rPr>
          <w:szCs w:val="21"/>
        </w:rPr>
        <w:t>CHL</w:t>
      </w:r>
      <w:r>
        <w:rPr>
          <w:szCs w:val="21"/>
        </w:rPr>
        <w:t>细胞，可接种</w:t>
      </w:r>
      <w:r>
        <w:rPr>
          <w:szCs w:val="21"/>
        </w:rPr>
        <w:t>1×10</w:t>
      </w:r>
      <w:r>
        <w:rPr>
          <w:szCs w:val="21"/>
          <w:vertAlign w:val="superscript"/>
        </w:rPr>
        <w:t>6</w:t>
      </w:r>
      <w:r>
        <w:rPr>
          <w:szCs w:val="21"/>
        </w:rPr>
        <w:t>个</w:t>
      </w:r>
      <w:r>
        <w:rPr>
          <w:rFonts w:hint="eastAsia"/>
          <w:szCs w:val="21"/>
        </w:rPr>
        <w:t>，</w:t>
      </w:r>
      <w:r>
        <w:rPr>
          <w:szCs w:val="21"/>
        </w:rPr>
        <w:t>放</w:t>
      </w:r>
      <w:r>
        <w:rPr>
          <w:szCs w:val="21"/>
        </w:rPr>
        <w:t>CO</w:t>
      </w:r>
      <w:r>
        <w:rPr>
          <w:szCs w:val="21"/>
          <w:vertAlign w:val="subscript"/>
        </w:rPr>
        <w:t>2</w:t>
      </w:r>
      <w:r>
        <w:rPr>
          <w:szCs w:val="21"/>
        </w:rPr>
        <w:lastRenderedPageBreak/>
        <w:t>培养箱内培养。</w:t>
      </w:r>
    </w:p>
    <w:p w:rsidR="00815371" w:rsidRDefault="00C451AC">
      <w:pPr>
        <w:spacing w:line="300" w:lineRule="auto"/>
        <w:rPr>
          <w:szCs w:val="21"/>
        </w:rPr>
      </w:pPr>
      <w:r>
        <w:rPr>
          <w:szCs w:val="21"/>
        </w:rPr>
        <w:t>5.2.4</w:t>
      </w:r>
      <w:r>
        <w:rPr>
          <w:rFonts w:hint="eastAsia"/>
          <w:szCs w:val="21"/>
        </w:rPr>
        <w:t xml:space="preserve"> </w:t>
      </w:r>
      <w:r>
        <w:rPr>
          <w:szCs w:val="21"/>
        </w:rPr>
        <w:t>试验需在加入和不加入</w:t>
      </w:r>
      <w:r w:rsidR="007C34D6">
        <w:rPr>
          <w:szCs w:val="21"/>
        </w:rPr>
        <w:t>S</w:t>
      </w:r>
      <w:r w:rsidR="007C34D6" w:rsidRPr="007C34D6">
        <w:rPr>
          <w:szCs w:val="21"/>
          <w:vertAlign w:val="subscript"/>
        </w:rPr>
        <w:t>9</w:t>
      </w:r>
      <w:r>
        <w:rPr>
          <w:szCs w:val="21"/>
        </w:rPr>
        <w:t xml:space="preserve"> mix</w:t>
      </w:r>
      <w:r>
        <w:rPr>
          <w:szCs w:val="21"/>
        </w:rPr>
        <w:t>的条件下进行。试验时，吸去培养皿（瓶）中的培养液，加入一定浓度的受试物、</w:t>
      </w:r>
      <w:r w:rsidR="007C34D6">
        <w:rPr>
          <w:szCs w:val="21"/>
        </w:rPr>
        <w:t>S</w:t>
      </w:r>
      <w:r w:rsidR="007C34D6" w:rsidRPr="007C34D6">
        <w:rPr>
          <w:szCs w:val="21"/>
          <w:vertAlign w:val="subscript"/>
        </w:rPr>
        <w:t>9</w:t>
      </w:r>
      <w:r>
        <w:rPr>
          <w:szCs w:val="21"/>
        </w:rPr>
        <w:t xml:space="preserve"> mix</w:t>
      </w:r>
      <w:r>
        <w:rPr>
          <w:szCs w:val="21"/>
        </w:rPr>
        <w:t>（不加</w:t>
      </w:r>
      <w:r w:rsidR="007C34D6">
        <w:rPr>
          <w:szCs w:val="21"/>
        </w:rPr>
        <w:t>S</w:t>
      </w:r>
      <w:r w:rsidR="007C34D6" w:rsidRPr="007C34D6">
        <w:rPr>
          <w:szCs w:val="21"/>
          <w:vertAlign w:val="subscript"/>
        </w:rPr>
        <w:t>9</w:t>
      </w:r>
      <w:r>
        <w:rPr>
          <w:szCs w:val="21"/>
        </w:rPr>
        <w:t xml:space="preserve"> mix</w:t>
      </w:r>
      <w:r>
        <w:rPr>
          <w:szCs w:val="21"/>
        </w:rPr>
        <w:t>时，需用不含血清培养液补足）以及一定量不含血清的培养液，放培养箱中处理</w:t>
      </w:r>
      <w:r>
        <w:rPr>
          <w:szCs w:val="21"/>
        </w:rPr>
        <w:t>3</w:t>
      </w:r>
      <w:r>
        <w:rPr>
          <w:rFonts w:hint="eastAsia"/>
          <w:szCs w:val="21"/>
        </w:rPr>
        <w:t xml:space="preserve"> </w:t>
      </w:r>
      <w:r>
        <w:rPr>
          <w:szCs w:val="21"/>
        </w:rPr>
        <w:t>～</w:t>
      </w:r>
      <w:r>
        <w:rPr>
          <w:rFonts w:hint="eastAsia"/>
          <w:szCs w:val="21"/>
        </w:rPr>
        <w:t xml:space="preserve"> </w:t>
      </w:r>
      <w:r>
        <w:rPr>
          <w:szCs w:val="21"/>
        </w:rPr>
        <w:t>6 h</w:t>
      </w:r>
      <w:r>
        <w:rPr>
          <w:szCs w:val="21"/>
        </w:rPr>
        <w:t>。结束后，吸去含受试物的培养液，用</w:t>
      </w:r>
      <w:r>
        <w:rPr>
          <w:szCs w:val="21"/>
        </w:rPr>
        <w:t>Hanks</w:t>
      </w:r>
      <w:r>
        <w:rPr>
          <w:szCs w:val="21"/>
        </w:rPr>
        <w:t>液洗细胞</w:t>
      </w:r>
      <w:r>
        <w:rPr>
          <w:szCs w:val="21"/>
        </w:rPr>
        <w:t>3</w:t>
      </w:r>
      <w:r>
        <w:rPr>
          <w:szCs w:val="21"/>
        </w:rPr>
        <w:t>次，加入含</w:t>
      </w:r>
      <w:r>
        <w:rPr>
          <w:szCs w:val="21"/>
        </w:rPr>
        <w:t>10%</w:t>
      </w:r>
      <w:r>
        <w:rPr>
          <w:szCs w:val="21"/>
        </w:rPr>
        <w:t>胎牛血清的培养液，放回培养箱，于</w:t>
      </w:r>
      <w:r>
        <w:rPr>
          <w:szCs w:val="21"/>
        </w:rPr>
        <w:t>24 h</w:t>
      </w:r>
      <w:r>
        <w:rPr>
          <w:szCs w:val="21"/>
        </w:rPr>
        <w:t>内收获细胞（从处理开始算起，总时间约为</w:t>
      </w:r>
      <w:r>
        <w:rPr>
          <w:szCs w:val="21"/>
        </w:rPr>
        <w:t>1.5</w:t>
      </w:r>
      <w:r>
        <w:rPr>
          <w:szCs w:val="21"/>
        </w:rPr>
        <w:t>个正常细胞周期）。于收获前</w:t>
      </w:r>
      <w:r>
        <w:rPr>
          <w:szCs w:val="21"/>
        </w:rPr>
        <w:t>2</w:t>
      </w:r>
      <w:r>
        <w:rPr>
          <w:rFonts w:hint="eastAsia"/>
          <w:szCs w:val="21"/>
        </w:rPr>
        <w:t xml:space="preserve"> </w:t>
      </w:r>
      <w:r>
        <w:rPr>
          <w:szCs w:val="21"/>
        </w:rPr>
        <w:t>～</w:t>
      </w:r>
      <w:r>
        <w:rPr>
          <w:rFonts w:hint="eastAsia"/>
          <w:szCs w:val="21"/>
        </w:rPr>
        <w:t xml:space="preserve"> </w:t>
      </w:r>
      <w:r>
        <w:rPr>
          <w:szCs w:val="21"/>
        </w:rPr>
        <w:t>4 h</w:t>
      </w:r>
      <w:r>
        <w:rPr>
          <w:szCs w:val="21"/>
        </w:rPr>
        <w:t>，加入细胞分裂中期阻断剂（如用秋水仙素，作用时间为</w:t>
      </w:r>
      <w:r>
        <w:rPr>
          <w:szCs w:val="21"/>
        </w:rPr>
        <w:t>4 h</w:t>
      </w:r>
      <w:r>
        <w:rPr>
          <w:szCs w:val="21"/>
        </w:rPr>
        <w:t>，终浓度为</w:t>
      </w:r>
      <w:r>
        <w:rPr>
          <w:szCs w:val="21"/>
        </w:rPr>
        <w:t>1 μg/mL</w:t>
      </w:r>
      <w:r>
        <w:rPr>
          <w:szCs w:val="21"/>
        </w:rPr>
        <w:t>）。</w:t>
      </w:r>
    </w:p>
    <w:p w:rsidR="00815371" w:rsidRDefault="00C451AC">
      <w:pPr>
        <w:spacing w:line="300" w:lineRule="auto"/>
        <w:ind w:firstLineChars="200" w:firstLine="420"/>
        <w:rPr>
          <w:szCs w:val="21"/>
        </w:rPr>
      </w:pPr>
      <w:r>
        <w:rPr>
          <w:szCs w:val="21"/>
        </w:rPr>
        <w:t>当受试物为原料时</w:t>
      </w:r>
      <w:r>
        <w:rPr>
          <w:rFonts w:hint="eastAsia"/>
          <w:szCs w:val="21"/>
        </w:rPr>
        <w:t>，</w:t>
      </w:r>
      <w:r>
        <w:rPr>
          <w:szCs w:val="21"/>
        </w:rPr>
        <w:t>如果在上述加入和不加入</w:t>
      </w:r>
      <w:r w:rsidR="007C34D6">
        <w:rPr>
          <w:szCs w:val="21"/>
        </w:rPr>
        <w:t>S</w:t>
      </w:r>
      <w:r w:rsidR="007C34D6" w:rsidRPr="007C34D6">
        <w:rPr>
          <w:szCs w:val="21"/>
          <w:vertAlign w:val="subscript"/>
        </w:rPr>
        <w:t>9</w:t>
      </w:r>
      <w:r>
        <w:rPr>
          <w:szCs w:val="21"/>
        </w:rPr>
        <w:t xml:space="preserve"> mix</w:t>
      </w:r>
      <w:r>
        <w:rPr>
          <w:szCs w:val="21"/>
        </w:rPr>
        <w:t>的条件下均获得阴性结果，则尚需补加另外的试验，即在不加</w:t>
      </w:r>
      <w:r w:rsidR="007C34D6">
        <w:rPr>
          <w:szCs w:val="21"/>
        </w:rPr>
        <w:t>S</w:t>
      </w:r>
      <w:r w:rsidR="007C34D6" w:rsidRPr="007C34D6">
        <w:rPr>
          <w:szCs w:val="21"/>
          <w:vertAlign w:val="subscript"/>
        </w:rPr>
        <w:t>9</w:t>
      </w:r>
      <w:r>
        <w:rPr>
          <w:szCs w:val="21"/>
        </w:rPr>
        <w:t xml:space="preserve"> mix</w:t>
      </w:r>
      <w:r>
        <w:rPr>
          <w:szCs w:val="21"/>
        </w:rPr>
        <w:t>的条件下，使受试物与试验系统的接触时间延长至</w:t>
      </w:r>
      <w:r>
        <w:rPr>
          <w:szCs w:val="21"/>
        </w:rPr>
        <w:t>24 h</w:t>
      </w:r>
      <w:r>
        <w:rPr>
          <w:szCs w:val="21"/>
        </w:rPr>
        <w:t>（接触过程中需加入含</w:t>
      </w:r>
      <w:r>
        <w:rPr>
          <w:szCs w:val="21"/>
        </w:rPr>
        <w:t>10%</w:t>
      </w:r>
      <w:r>
        <w:rPr>
          <w:szCs w:val="21"/>
        </w:rPr>
        <w:t>胎牛血清的培养液）。</w:t>
      </w:r>
    </w:p>
    <w:p w:rsidR="00815371" w:rsidRDefault="00C451AC">
      <w:pPr>
        <w:spacing w:line="300" w:lineRule="auto"/>
        <w:ind w:firstLineChars="200" w:firstLine="420"/>
        <w:rPr>
          <w:szCs w:val="21"/>
        </w:rPr>
      </w:pPr>
      <w:r>
        <w:rPr>
          <w:szCs w:val="21"/>
        </w:rPr>
        <w:t>当难以得出明确结论时，应更换试验条件，如改变代谢活化条件、受试物与试验系统接触时间等重复试验。</w:t>
      </w:r>
    </w:p>
    <w:p w:rsidR="00815371" w:rsidRDefault="00C451AC">
      <w:pPr>
        <w:spacing w:line="300" w:lineRule="auto"/>
        <w:rPr>
          <w:szCs w:val="21"/>
        </w:rPr>
      </w:pPr>
      <w:r>
        <w:rPr>
          <w:szCs w:val="21"/>
        </w:rPr>
        <w:t>5.2.5</w:t>
      </w:r>
      <w:r>
        <w:rPr>
          <w:rFonts w:hint="eastAsia"/>
          <w:szCs w:val="21"/>
        </w:rPr>
        <w:t xml:space="preserve"> </w:t>
      </w:r>
      <w:r>
        <w:rPr>
          <w:szCs w:val="21"/>
        </w:rPr>
        <w:t>收获细胞时，用</w:t>
      </w:r>
      <w:r>
        <w:rPr>
          <w:szCs w:val="21"/>
        </w:rPr>
        <w:t>0.25%</w:t>
      </w:r>
      <w:r>
        <w:rPr>
          <w:szCs w:val="21"/>
        </w:rPr>
        <w:t>胰蛋白酶溶液消化细胞，待细胞脱落后，加入含</w:t>
      </w:r>
      <w:r>
        <w:rPr>
          <w:szCs w:val="21"/>
        </w:rPr>
        <w:t>10%</w:t>
      </w:r>
      <w:r>
        <w:rPr>
          <w:szCs w:val="21"/>
        </w:rPr>
        <w:t>胎牛或小牛血清的培养液终止胰蛋白酶的作用，混匀，放入离心管以</w:t>
      </w:r>
      <w:r>
        <w:rPr>
          <w:szCs w:val="21"/>
        </w:rPr>
        <w:t>1000</w:t>
      </w:r>
      <w:r>
        <w:rPr>
          <w:rFonts w:hint="eastAsia"/>
          <w:szCs w:val="21"/>
        </w:rPr>
        <w:t xml:space="preserve"> </w:t>
      </w:r>
      <w:r>
        <w:rPr>
          <w:szCs w:val="21"/>
        </w:rPr>
        <w:t>～</w:t>
      </w:r>
      <w:r>
        <w:rPr>
          <w:rFonts w:hint="eastAsia"/>
          <w:szCs w:val="21"/>
        </w:rPr>
        <w:t xml:space="preserve"> </w:t>
      </w:r>
      <w:r>
        <w:rPr>
          <w:szCs w:val="21"/>
        </w:rPr>
        <w:t>1200 r/min</w:t>
      </w:r>
      <w:r>
        <w:rPr>
          <w:szCs w:val="21"/>
        </w:rPr>
        <w:t>的速度离心</w:t>
      </w:r>
      <w:r>
        <w:rPr>
          <w:szCs w:val="21"/>
        </w:rPr>
        <w:t>5</w:t>
      </w:r>
      <w:r>
        <w:rPr>
          <w:rFonts w:hint="eastAsia"/>
          <w:szCs w:val="21"/>
        </w:rPr>
        <w:t xml:space="preserve"> </w:t>
      </w:r>
      <w:r>
        <w:rPr>
          <w:szCs w:val="21"/>
        </w:rPr>
        <w:t>～</w:t>
      </w:r>
      <w:r>
        <w:rPr>
          <w:rFonts w:hint="eastAsia"/>
          <w:szCs w:val="21"/>
        </w:rPr>
        <w:t xml:space="preserve"> </w:t>
      </w:r>
      <w:r>
        <w:rPr>
          <w:szCs w:val="21"/>
        </w:rPr>
        <w:t>7 min</w:t>
      </w:r>
      <w:r>
        <w:rPr>
          <w:szCs w:val="21"/>
        </w:rPr>
        <w:t>，弃去上清液，加入</w:t>
      </w:r>
      <w:r>
        <w:rPr>
          <w:szCs w:val="21"/>
        </w:rPr>
        <w:t>0.075 mol/L KC1</w:t>
      </w:r>
      <w:r>
        <w:rPr>
          <w:szCs w:val="21"/>
        </w:rPr>
        <w:t>溶液，用滴管将细胞轻轻地混匀，放入</w:t>
      </w:r>
      <w:r>
        <w:rPr>
          <w:szCs w:val="21"/>
        </w:rPr>
        <w:t xml:space="preserve">37 </w:t>
      </w:r>
      <w:r>
        <w:rPr>
          <w:rFonts w:ascii="宋体" w:hAnsi="宋体" w:cs="宋体" w:hint="eastAsia"/>
          <w:szCs w:val="21"/>
        </w:rPr>
        <w:t>℃</w:t>
      </w:r>
      <w:r>
        <w:rPr>
          <w:szCs w:val="21"/>
        </w:rPr>
        <w:t>细胞培养箱中低渗处理。继而以新配制的甲醇和冰醋酸液（容积比为</w:t>
      </w:r>
      <w:r>
        <w:rPr>
          <w:szCs w:val="21"/>
        </w:rPr>
        <w:t>3:1</w:t>
      </w:r>
      <w:r>
        <w:rPr>
          <w:szCs w:val="21"/>
        </w:rPr>
        <w:t>）进行固定。空气干燥或火焰干燥法常规制片，用姬姆萨染液染色。</w:t>
      </w:r>
    </w:p>
    <w:p w:rsidR="00815371" w:rsidRDefault="00C451AC">
      <w:pPr>
        <w:spacing w:line="300" w:lineRule="auto"/>
      </w:pPr>
      <w:r>
        <w:rPr>
          <w:szCs w:val="21"/>
        </w:rPr>
        <w:t>5.2.6</w:t>
      </w:r>
      <w:r>
        <w:rPr>
          <w:rFonts w:hint="eastAsia"/>
          <w:szCs w:val="21"/>
        </w:rPr>
        <w:t xml:space="preserve"> </w:t>
      </w:r>
      <w:r>
        <w:t>所有玻片（包括阳性和阴性对照玻片）在镜检分析染色体畸变前应进行独立编码。由于固定过程常导致一部分中期细胞丢失染色体，因此所计数的细胞中期分裂相</w:t>
      </w:r>
      <w:r>
        <w:rPr>
          <w:szCs w:val="21"/>
        </w:rPr>
        <w:t>染色体数为</w:t>
      </w:r>
      <w:r>
        <w:rPr>
          <w:szCs w:val="21"/>
        </w:rPr>
        <w:t>2</w:t>
      </w:r>
      <w:r>
        <w:rPr>
          <w:i/>
          <w:szCs w:val="21"/>
        </w:rPr>
        <w:t>n</w:t>
      </w:r>
      <w:r>
        <w:rPr>
          <w:szCs w:val="21"/>
        </w:rPr>
        <w:t xml:space="preserve"> ± 2</w:t>
      </w:r>
      <w:r>
        <w:rPr>
          <w:szCs w:val="21"/>
        </w:rPr>
        <w:t>。</w:t>
      </w:r>
    </w:p>
    <w:p w:rsidR="00815371" w:rsidRDefault="00C451AC">
      <w:pPr>
        <w:spacing w:line="300" w:lineRule="auto"/>
        <w:ind w:firstLineChars="200" w:firstLine="420"/>
        <w:rPr>
          <w:szCs w:val="21"/>
          <w:highlight w:val="yellow"/>
        </w:rPr>
      </w:pPr>
      <w:r>
        <w:rPr>
          <w:szCs w:val="21"/>
        </w:rPr>
        <w:t>为获得准确的分析结果，每种浓度和对照至少应选择</w:t>
      </w:r>
      <w:r>
        <w:rPr>
          <w:szCs w:val="21"/>
        </w:rPr>
        <w:t>300</w:t>
      </w:r>
      <w:r>
        <w:rPr>
          <w:szCs w:val="21"/>
        </w:rPr>
        <w:t>个</w:t>
      </w:r>
      <w:r>
        <w:t>分散良好的中期分裂相细胞</w:t>
      </w:r>
      <w:r>
        <w:rPr>
          <w:szCs w:val="21"/>
        </w:rPr>
        <w:t>。结果明确时可减少阳性对照细胞数（一般不少于</w:t>
      </w:r>
      <w:r>
        <w:rPr>
          <w:szCs w:val="21"/>
        </w:rPr>
        <w:t>100</w:t>
      </w:r>
      <w:r>
        <w:rPr>
          <w:szCs w:val="21"/>
        </w:rPr>
        <w:t>个），但需取得明确的阳性结果。</w:t>
      </w:r>
    </w:p>
    <w:p w:rsidR="00815371" w:rsidRDefault="00C451AC">
      <w:pPr>
        <w:spacing w:line="300" w:lineRule="auto"/>
        <w:ind w:firstLineChars="200" w:firstLine="420"/>
        <w:rPr>
          <w:szCs w:val="21"/>
          <w:highlight w:val="yellow"/>
        </w:rPr>
      </w:pPr>
      <w:r>
        <w:rPr>
          <w:color w:val="0F1115"/>
          <w:shd w:val="clear" w:color="auto" w:fill="FFFFFF"/>
        </w:rPr>
        <w:t>应计数具有结构染色体畸变（包括裂隙和不包括裂隙）的细胞。染色单体型和染色体型畸变应分别记录并按亚型（断裂、交换）分类。</w:t>
      </w:r>
      <w:r>
        <w:t>尽管本试验旨在检测结构染色体畸变，但当观察到多倍体和核内复制频率时，也应对其进行记录。</w:t>
      </w:r>
    </w:p>
    <w:p w:rsidR="00815371" w:rsidRDefault="00C451AC">
      <w:pPr>
        <w:spacing w:beforeLines="50" w:before="156" w:afterLines="50" w:after="156" w:line="300" w:lineRule="auto"/>
        <w:rPr>
          <w:szCs w:val="21"/>
        </w:rPr>
      </w:pPr>
      <w:r>
        <w:rPr>
          <w:szCs w:val="21"/>
        </w:rPr>
        <w:t>5.3</w:t>
      </w:r>
      <w:r>
        <w:rPr>
          <w:rFonts w:hint="eastAsia"/>
          <w:szCs w:val="21"/>
        </w:rPr>
        <w:t xml:space="preserve"> </w:t>
      </w:r>
      <w:r>
        <w:rPr>
          <w:szCs w:val="21"/>
        </w:rPr>
        <w:t>试验结果</w:t>
      </w:r>
    </w:p>
    <w:p w:rsidR="00815371" w:rsidRDefault="00C451AC">
      <w:pPr>
        <w:spacing w:line="300" w:lineRule="auto"/>
        <w:ind w:firstLineChars="200" w:firstLine="420"/>
        <w:rPr>
          <w:szCs w:val="21"/>
        </w:rPr>
      </w:pPr>
      <w:r>
        <w:rPr>
          <w:szCs w:val="21"/>
        </w:rPr>
        <w:t>应评估具有结构染色体畸变的细胞百分比。应按亚型（断裂、交换）分类的染色单体型和染色体型畸变，分别列出其在实验组和对照组中的数量及频率。</w:t>
      </w:r>
      <w:r>
        <w:rPr>
          <w:color w:val="0F1115"/>
          <w:shd w:val="clear" w:color="auto" w:fill="FFFFFF"/>
        </w:rPr>
        <w:t>裂隙</w:t>
      </w:r>
      <w:r>
        <w:rPr>
          <w:szCs w:val="21"/>
        </w:rPr>
        <w:t>应单独记录和报告，但不计入总畸变频率。当观察到多倍体和</w:t>
      </w:r>
      <w:r>
        <w:rPr>
          <w:szCs w:val="21"/>
        </w:rPr>
        <w:t>/</w:t>
      </w:r>
      <w:r>
        <w:rPr>
          <w:szCs w:val="21"/>
        </w:rPr>
        <w:t>或核内复制细胞时，应报告其百分比。</w:t>
      </w:r>
    </w:p>
    <w:p w:rsidR="00815371" w:rsidRDefault="00C451AC">
      <w:pPr>
        <w:spacing w:line="300" w:lineRule="auto"/>
        <w:ind w:firstLineChars="200" w:firstLine="420"/>
        <w:rPr>
          <w:szCs w:val="21"/>
        </w:rPr>
      </w:pPr>
      <w:r>
        <w:rPr>
          <w:szCs w:val="21"/>
        </w:rPr>
        <w:t>应记录主要畸变试验中所有处理组、阴性及阳性对照的同步细胞毒性测定数据。</w:t>
      </w:r>
    </w:p>
    <w:p w:rsidR="00815371" w:rsidRDefault="00C451AC">
      <w:pPr>
        <w:spacing w:beforeLines="50" w:before="156" w:afterLines="50" w:after="156" w:line="300" w:lineRule="auto"/>
        <w:rPr>
          <w:szCs w:val="21"/>
        </w:rPr>
      </w:pPr>
      <w:r>
        <w:rPr>
          <w:szCs w:val="21"/>
        </w:rPr>
        <w:t>5.4</w:t>
      </w:r>
      <w:r>
        <w:rPr>
          <w:rFonts w:hint="eastAsia"/>
          <w:szCs w:val="21"/>
        </w:rPr>
        <w:t xml:space="preserve"> </w:t>
      </w:r>
      <w:r>
        <w:rPr>
          <w:szCs w:val="21"/>
        </w:rPr>
        <w:t>统计处理：对染色体畸变细胞率用</w:t>
      </w:r>
      <w:r>
        <w:rPr>
          <w:szCs w:val="21"/>
        </w:rPr>
        <w:t>χ</w:t>
      </w:r>
      <w:r>
        <w:rPr>
          <w:szCs w:val="21"/>
          <w:vertAlign w:val="superscript"/>
        </w:rPr>
        <w:t>2</w:t>
      </w:r>
      <w:r>
        <w:rPr>
          <w:szCs w:val="21"/>
        </w:rPr>
        <w:t>检验，以评价受试物的致突变性。</w:t>
      </w:r>
    </w:p>
    <w:p w:rsidR="00815371" w:rsidRDefault="00C451AC">
      <w:pPr>
        <w:spacing w:beforeLines="50" w:before="156" w:afterLines="50" w:after="156" w:line="300" w:lineRule="auto"/>
        <w:rPr>
          <w:szCs w:val="21"/>
        </w:rPr>
      </w:pPr>
      <w:r>
        <w:rPr>
          <w:szCs w:val="21"/>
        </w:rPr>
        <w:t>5.5</w:t>
      </w:r>
      <w:r>
        <w:rPr>
          <w:rFonts w:hint="eastAsia"/>
          <w:szCs w:val="21"/>
        </w:rPr>
        <w:t xml:space="preserve"> </w:t>
      </w:r>
      <w:r>
        <w:rPr>
          <w:szCs w:val="21"/>
        </w:rPr>
        <w:t>结果评价：在下列两种情况下可判定受试物在本试验系统中具有致突变性：</w:t>
      </w:r>
    </w:p>
    <w:p w:rsidR="00815371" w:rsidRDefault="00C451AC">
      <w:pPr>
        <w:numPr>
          <w:ilvl w:val="0"/>
          <w:numId w:val="1"/>
        </w:numPr>
        <w:spacing w:line="300" w:lineRule="auto"/>
        <w:rPr>
          <w:szCs w:val="21"/>
        </w:rPr>
      </w:pPr>
      <w:r>
        <w:rPr>
          <w:szCs w:val="21"/>
        </w:rPr>
        <w:t>受试物引起染色体结构畸变数具有统计学意义，并有剂量相关性。</w:t>
      </w:r>
    </w:p>
    <w:p w:rsidR="00815371" w:rsidRDefault="00C451AC">
      <w:pPr>
        <w:numPr>
          <w:ilvl w:val="0"/>
          <w:numId w:val="1"/>
        </w:numPr>
        <w:spacing w:line="300" w:lineRule="auto"/>
        <w:rPr>
          <w:szCs w:val="21"/>
        </w:rPr>
      </w:pPr>
      <w:r>
        <w:rPr>
          <w:szCs w:val="21"/>
        </w:rPr>
        <w:lastRenderedPageBreak/>
        <w:t>受试物在任何一个剂量条件下，引起具有统计学意义的增加，并有可重复性。</w:t>
      </w:r>
    </w:p>
    <w:p w:rsidR="00815371" w:rsidRDefault="00C451AC">
      <w:pPr>
        <w:tabs>
          <w:tab w:val="left" w:pos="630"/>
        </w:tabs>
        <w:spacing w:line="300" w:lineRule="auto"/>
        <w:ind w:left="630"/>
        <w:rPr>
          <w:szCs w:val="21"/>
        </w:rPr>
      </w:pPr>
      <w:r>
        <w:rPr>
          <w:szCs w:val="21"/>
        </w:rPr>
        <w:t>在评价时应把生物学和统计学意义结合考虑。</w:t>
      </w:r>
    </w:p>
    <w:p w:rsidR="00815371" w:rsidRDefault="00C451AC">
      <w:pPr>
        <w:spacing w:beforeLines="50" w:before="156" w:afterLines="50" w:after="156" w:line="300" w:lineRule="auto"/>
        <w:jc w:val="left"/>
        <w:outlineLvl w:val="2"/>
        <w:rPr>
          <w:rFonts w:eastAsia="黑体"/>
          <w:bCs/>
          <w:szCs w:val="32"/>
        </w:rPr>
      </w:pPr>
      <w:bookmarkStart w:id="12" w:name="_Toc91679183"/>
      <w:r>
        <w:rPr>
          <w:rFonts w:eastAsia="黑体"/>
          <w:bCs/>
          <w:szCs w:val="32"/>
        </w:rPr>
        <w:t xml:space="preserve">6  </w:t>
      </w:r>
      <w:r>
        <w:rPr>
          <w:rFonts w:eastAsia="黑体"/>
          <w:bCs/>
          <w:szCs w:val="32"/>
        </w:rPr>
        <w:t>结果解释</w:t>
      </w:r>
      <w:bookmarkEnd w:id="12"/>
    </w:p>
    <w:p w:rsidR="00815371" w:rsidRDefault="00C451AC">
      <w:pPr>
        <w:spacing w:line="300" w:lineRule="auto"/>
        <w:ind w:firstLineChars="200" w:firstLine="420"/>
        <w:rPr>
          <w:szCs w:val="21"/>
        </w:rPr>
      </w:pPr>
      <w:r>
        <w:rPr>
          <w:szCs w:val="21"/>
        </w:rPr>
        <w:t>阳性结果表明受试物引起培养的哺乳动物体细胞染色体结构畸变。</w:t>
      </w:r>
    </w:p>
    <w:p w:rsidR="00815371" w:rsidRDefault="00C451AC">
      <w:pPr>
        <w:spacing w:line="300" w:lineRule="auto"/>
        <w:ind w:firstLineChars="200" w:firstLine="420"/>
        <w:rPr>
          <w:szCs w:val="21"/>
        </w:rPr>
      </w:pPr>
      <w:r>
        <w:rPr>
          <w:szCs w:val="21"/>
        </w:rPr>
        <w:t>阴性结果表明在本试验条件下，受试物不引起培养的哺乳动物体细胞染色体结构畸变。</w:t>
      </w:r>
    </w:p>
    <w:p w:rsidR="00815371" w:rsidRDefault="00C451AC">
      <w:pPr>
        <w:widowControl/>
        <w:jc w:val="left"/>
        <w:rPr>
          <w:szCs w:val="21"/>
        </w:rPr>
      </w:pPr>
      <w:r>
        <w:rPr>
          <w:szCs w:val="21"/>
        </w:rPr>
        <w:br w:type="page"/>
      </w:r>
    </w:p>
    <w:p w:rsidR="00815371" w:rsidRDefault="00C451AC">
      <w:pPr>
        <w:spacing w:beforeLines="50" w:before="156" w:afterLines="50" w:after="156" w:line="300" w:lineRule="auto"/>
        <w:jc w:val="center"/>
        <w:rPr>
          <w:rFonts w:eastAsia="黑体"/>
          <w:sz w:val="32"/>
          <w:szCs w:val="32"/>
        </w:rPr>
      </w:pPr>
      <w:r>
        <w:rPr>
          <w:rFonts w:eastAsia="黑体" w:hint="eastAsia"/>
          <w:sz w:val="32"/>
          <w:szCs w:val="32"/>
        </w:rPr>
        <w:lastRenderedPageBreak/>
        <w:t>体外哺乳动物细胞染色体畸变试验方法（征求意见稿）</w:t>
      </w:r>
    </w:p>
    <w:p w:rsidR="00815371" w:rsidRDefault="00C451AC">
      <w:pPr>
        <w:spacing w:beforeLines="50" w:before="156" w:afterLines="50" w:after="156" w:line="300" w:lineRule="auto"/>
        <w:jc w:val="center"/>
        <w:rPr>
          <w:rFonts w:eastAsia="黑体"/>
          <w:sz w:val="32"/>
          <w:szCs w:val="32"/>
        </w:rPr>
      </w:pPr>
      <w:r>
        <w:rPr>
          <w:rFonts w:eastAsia="黑体" w:hint="eastAsia"/>
          <w:sz w:val="32"/>
          <w:szCs w:val="32"/>
        </w:rPr>
        <w:t>起草</w:t>
      </w:r>
      <w:r>
        <w:rPr>
          <w:rFonts w:eastAsia="黑体"/>
          <w:sz w:val="32"/>
          <w:szCs w:val="32"/>
        </w:rPr>
        <w:t>说明</w:t>
      </w:r>
    </w:p>
    <w:p w:rsidR="00815371" w:rsidRDefault="00C451AC">
      <w:pPr>
        <w:spacing w:line="300" w:lineRule="auto"/>
        <w:ind w:firstLine="420"/>
        <w:outlineLvl w:val="0"/>
        <w:rPr>
          <w:bCs/>
          <w:kern w:val="44"/>
          <w:szCs w:val="21"/>
        </w:rPr>
      </w:pPr>
      <w:r>
        <w:rPr>
          <w:rFonts w:hint="eastAsia"/>
          <w:bCs/>
          <w:kern w:val="44"/>
          <w:szCs w:val="21"/>
        </w:rPr>
        <w:t>为加强化妆品的监督管理，进一步提高化妆品使用安全性，国家药监局化妆品标准化技术委员会组织开展了《体外哺乳动物细胞染色体畸变试验方法》的研究制定工作。现就工作有关情况说明如下</w:t>
      </w:r>
      <w:r>
        <w:rPr>
          <w:bCs/>
          <w:kern w:val="44"/>
          <w:szCs w:val="21"/>
        </w:rPr>
        <w:t>：</w:t>
      </w:r>
    </w:p>
    <w:p w:rsidR="00815371" w:rsidRDefault="00C451AC">
      <w:pPr>
        <w:spacing w:beforeLines="50" w:before="156" w:afterLines="50" w:after="156" w:line="300" w:lineRule="auto"/>
      </w:pPr>
      <w:r>
        <w:rPr>
          <w:rFonts w:eastAsia="黑体"/>
          <w:szCs w:val="21"/>
        </w:rPr>
        <w:t>一、</w:t>
      </w:r>
      <w:r>
        <w:rPr>
          <w:rFonts w:eastAsia="黑体" w:hint="eastAsia"/>
          <w:szCs w:val="21"/>
        </w:rPr>
        <w:t>起草</w:t>
      </w:r>
      <w:r>
        <w:rPr>
          <w:rFonts w:eastAsia="黑体"/>
          <w:szCs w:val="21"/>
        </w:rPr>
        <w:t>原则</w:t>
      </w:r>
    </w:p>
    <w:p w:rsidR="00815371" w:rsidRDefault="00C451AC">
      <w:pPr>
        <w:autoSpaceDE w:val="0"/>
        <w:autoSpaceDN w:val="0"/>
        <w:adjustRightInd w:val="0"/>
        <w:snapToGrid w:val="0"/>
        <w:spacing w:beforeLines="50" w:before="156" w:afterLines="50" w:after="156" w:line="300" w:lineRule="auto"/>
        <w:ind w:firstLineChars="200" w:firstLine="420"/>
        <w:jc w:val="left"/>
        <w:rPr>
          <w:szCs w:val="21"/>
        </w:rPr>
      </w:pPr>
      <w:r>
        <w:rPr>
          <w:szCs w:val="21"/>
        </w:rPr>
        <w:t>（一）依法依规原则</w:t>
      </w:r>
      <w:r>
        <w:rPr>
          <w:rFonts w:hint="eastAsia"/>
          <w:szCs w:val="21"/>
        </w:rPr>
        <w:t>。</w:t>
      </w:r>
      <w:r>
        <w:rPr>
          <w:szCs w:val="21"/>
        </w:rPr>
        <w:t>遵循依法依规原则，贯彻落实《化妆品监督管理条例》及配套法规文件中关于化妆品和新原料的法规要求，切实为化妆品和新原料的安全评价提供技术指导，也为技术审评以及监管提供依据。</w:t>
      </w:r>
    </w:p>
    <w:p w:rsidR="00815371" w:rsidRDefault="00C451AC">
      <w:pPr>
        <w:autoSpaceDE w:val="0"/>
        <w:autoSpaceDN w:val="0"/>
        <w:adjustRightInd w:val="0"/>
        <w:snapToGrid w:val="0"/>
        <w:spacing w:beforeLines="50" w:before="156" w:afterLines="50" w:after="156" w:line="300" w:lineRule="auto"/>
        <w:ind w:firstLineChars="200" w:firstLine="420"/>
        <w:jc w:val="left"/>
        <w:rPr>
          <w:szCs w:val="21"/>
        </w:rPr>
      </w:pPr>
      <w:r>
        <w:rPr>
          <w:szCs w:val="21"/>
        </w:rPr>
        <w:t>（二）</w:t>
      </w:r>
      <w:r>
        <w:rPr>
          <w:rFonts w:hint="eastAsia"/>
          <w:szCs w:val="21"/>
        </w:rPr>
        <w:t>科学导向原则。充分考虑科学研究进展以及化妆品行业的实际情况，以科学为导向，对体外哺乳动物细胞染色体畸变试验进行修订。</w:t>
      </w:r>
    </w:p>
    <w:p w:rsidR="00815371" w:rsidRDefault="00C451AC">
      <w:pPr>
        <w:widowControl/>
        <w:numPr>
          <w:ilvl w:val="255"/>
          <w:numId w:val="0"/>
        </w:numPr>
        <w:adjustRightInd w:val="0"/>
        <w:snapToGrid w:val="0"/>
        <w:spacing w:beforeLines="50" w:before="156" w:afterLines="50" w:after="156" w:line="300" w:lineRule="auto"/>
        <w:ind w:firstLineChars="200" w:firstLine="420"/>
        <w:rPr>
          <w:szCs w:val="21"/>
        </w:rPr>
      </w:pPr>
      <w:r>
        <w:rPr>
          <w:szCs w:val="21"/>
        </w:rPr>
        <w:t>（三）科学规范原则</w:t>
      </w:r>
      <w:r>
        <w:rPr>
          <w:rFonts w:hint="eastAsia"/>
          <w:szCs w:val="21"/>
        </w:rPr>
        <w:t>。</w:t>
      </w:r>
      <w:r>
        <w:rPr>
          <w:szCs w:val="21"/>
        </w:rPr>
        <w:t>本试验方法采用目前国内外常用试验方法，保证方法科学、规范的同时，</w:t>
      </w:r>
      <w:r>
        <w:rPr>
          <w:bCs/>
          <w:kern w:val="44"/>
          <w:szCs w:val="21"/>
        </w:rPr>
        <w:t>确保标准文本表述清晰、严谨，</w:t>
      </w:r>
      <w:r>
        <w:rPr>
          <w:szCs w:val="21"/>
        </w:rPr>
        <w:t>兼顾与国际标准的接轨性、先进性。</w:t>
      </w:r>
    </w:p>
    <w:p w:rsidR="00815371" w:rsidRDefault="00C451AC">
      <w:pPr>
        <w:spacing w:beforeLines="50" w:before="156" w:afterLines="50" w:after="156" w:line="300" w:lineRule="auto"/>
        <w:rPr>
          <w:rFonts w:eastAsia="黑体"/>
          <w:szCs w:val="21"/>
        </w:rPr>
      </w:pPr>
      <w:r>
        <w:rPr>
          <w:rFonts w:eastAsia="黑体"/>
          <w:szCs w:val="21"/>
        </w:rPr>
        <w:t>二、</w:t>
      </w:r>
      <w:r>
        <w:rPr>
          <w:rFonts w:eastAsia="黑体" w:hint="eastAsia"/>
          <w:szCs w:val="21"/>
        </w:rPr>
        <w:t>起草</w:t>
      </w:r>
      <w:r>
        <w:rPr>
          <w:rFonts w:eastAsia="黑体"/>
          <w:szCs w:val="21"/>
        </w:rPr>
        <w:t>过程</w:t>
      </w:r>
    </w:p>
    <w:p w:rsidR="00815371" w:rsidRDefault="00C451AC">
      <w:pPr>
        <w:spacing w:line="300" w:lineRule="auto"/>
        <w:ind w:firstLine="420"/>
        <w:outlineLvl w:val="0"/>
        <w:rPr>
          <w:bCs/>
          <w:kern w:val="44"/>
          <w:szCs w:val="21"/>
        </w:rPr>
      </w:pPr>
      <w:r>
        <w:rPr>
          <w:rFonts w:hint="eastAsia"/>
          <w:bCs/>
          <w:kern w:val="44"/>
          <w:szCs w:val="21"/>
        </w:rPr>
        <w:t>国家药监局化妆品标准化技术委员会于</w:t>
      </w:r>
      <w:r>
        <w:rPr>
          <w:rFonts w:hint="eastAsia"/>
          <w:bCs/>
          <w:kern w:val="44"/>
          <w:szCs w:val="21"/>
        </w:rPr>
        <w:t>2025</w:t>
      </w:r>
      <w:r>
        <w:rPr>
          <w:rFonts w:hint="eastAsia"/>
          <w:bCs/>
          <w:kern w:val="44"/>
          <w:szCs w:val="21"/>
        </w:rPr>
        <w:t>年</w:t>
      </w:r>
      <w:r>
        <w:rPr>
          <w:rFonts w:hint="eastAsia"/>
          <w:bCs/>
          <w:kern w:val="44"/>
          <w:szCs w:val="21"/>
        </w:rPr>
        <w:t>1</w:t>
      </w:r>
      <w:r>
        <w:rPr>
          <w:rFonts w:hint="eastAsia"/>
          <w:bCs/>
          <w:kern w:val="44"/>
          <w:szCs w:val="21"/>
        </w:rPr>
        <w:t>月委托开展体外哺乳动物细胞染色体畸变试验的修订工作。前期准备工作包括查阅文献、参考相关的国家和行业标准、调研化妆品注册资料中该试验的相关问题、研究修订方案等。根据专家意见，经整理归纳后，最终形成了体外哺乳动物细胞染色体畸变试验文本，</w:t>
      </w:r>
      <w:r w:rsidR="007C34D6">
        <w:rPr>
          <w:rFonts w:hint="eastAsia"/>
          <w:bCs/>
          <w:kern w:val="44"/>
          <w:szCs w:val="21"/>
        </w:rPr>
        <w:t>并于</w:t>
      </w:r>
      <w:r w:rsidR="007C34D6">
        <w:rPr>
          <w:rFonts w:hint="eastAsia"/>
          <w:bCs/>
          <w:kern w:val="44"/>
          <w:szCs w:val="21"/>
        </w:rPr>
        <w:t>2025</w:t>
      </w:r>
      <w:r w:rsidR="007C34D6">
        <w:rPr>
          <w:rFonts w:hint="eastAsia"/>
          <w:bCs/>
          <w:kern w:val="44"/>
          <w:szCs w:val="21"/>
        </w:rPr>
        <w:t>年</w:t>
      </w:r>
      <w:r w:rsidR="007C34D6">
        <w:rPr>
          <w:rFonts w:hint="eastAsia"/>
          <w:bCs/>
          <w:kern w:val="44"/>
          <w:szCs w:val="21"/>
        </w:rPr>
        <w:t>9</w:t>
      </w:r>
      <w:r w:rsidR="007C34D6">
        <w:rPr>
          <w:rFonts w:hint="eastAsia"/>
          <w:bCs/>
          <w:kern w:val="44"/>
          <w:szCs w:val="21"/>
        </w:rPr>
        <w:t>月</w:t>
      </w:r>
      <w:r>
        <w:rPr>
          <w:rFonts w:hint="eastAsia"/>
          <w:bCs/>
          <w:kern w:val="44"/>
          <w:szCs w:val="21"/>
        </w:rPr>
        <w:t>通过国家药监局化妆品标准化技术委员会安全评价分技术委员会初审。</w:t>
      </w:r>
    </w:p>
    <w:p w:rsidR="00815371" w:rsidRDefault="00C451AC">
      <w:pPr>
        <w:spacing w:beforeLines="50" w:before="156" w:afterLines="50" w:after="156" w:line="300" w:lineRule="auto"/>
        <w:rPr>
          <w:rFonts w:eastAsia="黑体"/>
          <w:szCs w:val="21"/>
        </w:rPr>
      </w:pPr>
      <w:r>
        <w:rPr>
          <w:rFonts w:eastAsia="黑体"/>
          <w:szCs w:val="21"/>
        </w:rPr>
        <w:t>三、与我国已有相关标准的关系</w:t>
      </w:r>
    </w:p>
    <w:p w:rsidR="00815371" w:rsidRPr="007C34D6" w:rsidRDefault="00C451AC"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hint="eastAsia"/>
        </w:rPr>
        <w:t>染色体畸变包括染色体结构畸变和数目异常。体外哺乳动物细胞染色体畸变试验是评价受试物是否具有遗传毒性的一项体外试验，能够检测受试物是否引起哺乳动物细胞染色体结构畸变。《化学品</w:t>
      </w:r>
      <w:r w:rsidRPr="007C34D6">
        <w:rPr>
          <w:rFonts w:ascii="Times New Roman" w:hAnsi="Times New Roman" w:cs="Times New Roman" w:hint="eastAsia"/>
        </w:rPr>
        <w:t xml:space="preserve"> </w:t>
      </w:r>
      <w:r w:rsidRPr="007C34D6">
        <w:rPr>
          <w:rFonts w:ascii="Times New Roman" w:hAnsi="Times New Roman" w:cs="Times New Roman" w:hint="eastAsia"/>
        </w:rPr>
        <w:t>体外哺乳动物细胞染色体畸变试验方法》</w:t>
      </w:r>
      <w:r w:rsidRPr="007C34D6">
        <w:rPr>
          <w:rFonts w:ascii="Times New Roman" w:hAnsi="Times New Roman" w:cs="Times New Roman" w:hint="eastAsia"/>
        </w:rPr>
        <w:t xml:space="preserve"> </w:t>
      </w:r>
      <w:r w:rsidRPr="007C34D6">
        <w:rPr>
          <w:rFonts w:ascii="Times New Roman" w:hAnsi="Times New Roman" w:cs="Times New Roman" w:hint="eastAsia"/>
        </w:rPr>
        <w:t>（</w:t>
      </w:r>
      <w:r w:rsidRPr="007C34D6">
        <w:rPr>
          <w:rFonts w:ascii="Times New Roman" w:hAnsi="Times New Roman" w:cs="Times New Roman" w:hint="eastAsia"/>
        </w:rPr>
        <w:t>GB/T 21794-2008</w:t>
      </w:r>
      <w:r w:rsidRPr="007C34D6">
        <w:rPr>
          <w:rFonts w:ascii="Times New Roman" w:hAnsi="Times New Roman" w:cs="Times New Roman" w:hint="eastAsia"/>
        </w:rPr>
        <w:t>）规定的染毒浓度为“最高浓度组应见到明显的细胞融合、细胞计数或有丝分裂指数降低（均应大于</w:t>
      </w:r>
      <w:r w:rsidRPr="007C34D6">
        <w:rPr>
          <w:rFonts w:ascii="Times New Roman" w:hAnsi="Times New Roman" w:cs="Times New Roman" w:hint="eastAsia"/>
        </w:rPr>
        <w:t>50%</w:t>
      </w:r>
      <w:r w:rsidRPr="007C34D6">
        <w:rPr>
          <w:rFonts w:ascii="Times New Roman" w:hAnsi="Times New Roman" w:cs="Times New Roman" w:hint="eastAsia"/>
        </w:rPr>
        <w:t>）”。《食品安全国家标准</w:t>
      </w:r>
      <w:r w:rsidRPr="007C34D6">
        <w:rPr>
          <w:rFonts w:ascii="Times New Roman" w:hAnsi="Times New Roman" w:cs="Times New Roman" w:hint="eastAsia"/>
        </w:rPr>
        <w:t xml:space="preserve"> </w:t>
      </w:r>
      <w:r w:rsidRPr="007C34D6">
        <w:rPr>
          <w:rFonts w:ascii="Times New Roman" w:hAnsi="Times New Roman" w:cs="Times New Roman" w:hint="eastAsia"/>
        </w:rPr>
        <w:t>体外哺乳类细胞染色体畸变试验》</w:t>
      </w:r>
      <w:r w:rsidRPr="007C34D6">
        <w:rPr>
          <w:rFonts w:ascii="Times New Roman" w:hAnsi="Times New Roman" w:cs="Times New Roman" w:hint="eastAsia"/>
        </w:rPr>
        <w:t xml:space="preserve"> </w:t>
      </w:r>
      <w:r w:rsidRPr="007C34D6">
        <w:rPr>
          <w:rFonts w:ascii="Times New Roman" w:hAnsi="Times New Roman" w:cs="Times New Roman" w:hint="eastAsia"/>
        </w:rPr>
        <w:t>（</w:t>
      </w:r>
      <w:r w:rsidRPr="007C34D6">
        <w:rPr>
          <w:rFonts w:ascii="Times New Roman" w:hAnsi="Times New Roman" w:cs="Times New Roman" w:hint="eastAsia"/>
        </w:rPr>
        <w:t>GB 15193.23-2014</w:t>
      </w:r>
      <w:r w:rsidRPr="007C34D6">
        <w:rPr>
          <w:rFonts w:ascii="Times New Roman" w:hAnsi="Times New Roman" w:cs="Times New Roman" w:hint="eastAsia"/>
        </w:rPr>
        <w:t>）中对最高剂量的选择规定为“当收获细胞时，最高剂量应能明显减少细胞计数或有丝分裂指数（大于</w:t>
      </w:r>
      <w:r w:rsidRPr="007C34D6">
        <w:rPr>
          <w:rFonts w:ascii="Times New Roman" w:hAnsi="Times New Roman" w:cs="Times New Roman" w:hint="eastAsia"/>
        </w:rPr>
        <w:t>50%</w:t>
      </w:r>
      <w:r w:rsidRPr="007C34D6">
        <w:rPr>
          <w:rFonts w:ascii="Times New Roman" w:hAnsi="Times New Roman" w:cs="Times New Roman" w:hint="eastAsia"/>
        </w:rPr>
        <w:t>，如毒性过大，应适当增加接种细胞数）；同时应该考虑受试物对溶解度、</w:t>
      </w:r>
      <w:r w:rsidRPr="007C34D6">
        <w:rPr>
          <w:rFonts w:ascii="Times New Roman" w:hAnsi="Times New Roman" w:cs="Times New Roman" w:hint="eastAsia"/>
        </w:rPr>
        <w:t>pH</w:t>
      </w:r>
      <w:r w:rsidRPr="007C34D6">
        <w:rPr>
          <w:rFonts w:ascii="Times New Roman" w:hAnsi="Times New Roman" w:cs="Times New Roman" w:hint="eastAsia"/>
        </w:rPr>
        <w:t>和摩尔渗透压浓度的影响”。《药物遗传毒性研究技术指导原则》中规定“哺乳动物细胞体外遗传学试验中，最高浓度产生的细胞毒性应约为</w:t>
      </w:r>
      <w:r w:rsidRPr="007C34D6">
        <w:rPr>
          <w:rFonts w:ascii="Times New Roman" w:hAnsi="Times New Roman" w:cs="Times New Roman" w:hint="eastAsia"/>
        </w:rPr>
        <w:t>50%</w:t>
      </w:r>
      <w:r w:rsidRPr="007C34D6">
        <w:rPr>
          <w:rFonts w:ascii="Times New Roman" w:hAnsi="Times New Roman" w:cs="Times New Roman" w:hint="eastAsia"/>
        </w:rPr>
        <w:t>”。在此基础上，结合化妆品审评实际，对最高浓度选择和剂量设置要求进行了研究和比对。</w:t>
      </w:r>
    </w:p>
    <w:p w:rsidR="00815371" w:rsidRDefault="00C451AC">
      <w:pPr>
        <w:pStyle w:val="1"/>
        <w:spacing w:beforeLines="50" w:before="156" w:afterLines="50" w:after="156" w:line="300" w:lineRule="auto"/>
        <w:rPr>
          <w:rFonts w:ascii="黑体" w:hAnsi="黑体"/>
          <w:sz w:val="21"/>
          <w:szCs w:val="21"/>
        </w:rPr>
      </w:pPr>
      <w:r>
        <w:rPr>
          <w:rFonts w:ascii="黑体" w:hAnsi="黑体"/>
          <w:sz w:val="21"/>
          <w:szCs w:val="21"/>
        </w:rPr>
        <w:t>四、与《规范》中原方法的对比情况</w:t>
      </w:r>
    </w:p>
    <w:p w:rsidR="00815371" w:rsidRPr="007C34D6" w:rsidRDefault="00C451AC"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hint="eastAsia"/>
        </w:rPr>
        <w:lastRenderedPageBreak/>
        <w:t>原方法中对最高受试浓度的规定为“应当根据受试物对细胞的毒性、受试物在试验系统中的溶解度以及</w:t>
      </w:r>
      <w:r w:rsidRPr="007C34D6">
        <w:rPr>
          <w:rFonts w:ascii="Times New Roman" w:hAnsi="Times New Roman" w:cs="Times New Roman" w:hint="eastAsia"/>
        </w:rPr>
        <w:t>pH</w:t>
      </w:r>
      <w:r w:rsidRPr="007C34D6">
        <w:rPr>
          <w:rFonts w:ascii="Times New Roman" w:hAnsi="Times New Roman" w:cs="Times New Roman" w:hint="eastAsia"/>
        </w:rPr>
        <w:t>或渗克分子浓度的改变等不同因素来确定”“最高浓度应能明显降低细胞覆盖程度、细胞计数或有丝分裂指数（均应大于</w:t>
      </w:r>
      <w:r w:rsidRPr="007C34D6">
        <w:rPr>
          <w:rFonts w:ascii="Times New Roman" w:hAnsi="Times New Roman" w:cs="Times New Roman" w:hint="eastAsia"/>
        </w:rPr>
        <w:t>50%</w:t>
      </w:r>
      <w:r w:rsidRPr="007C34D6">
        <w:rPr>
          <w:rFonts w:ascii="Times New Roman" w:hAnsi="Times New Roman" w:cs="Times New Roman" w:hint="eastAsia"/>
        </w:rPr>
        <w:t>）”，未对细胞毒性的具体范围进行明确。为规范依据受试物对细胞的毒性来确定其最高受试浓度，修订后的方法明确在收获细胞时，最高受试浓度应为能达到</w:t>
      </w:r>
      <w:r w:rsidRPr="007C34D6">
        <w:rPr>
          <w:rFonts w:ascii="Times New Roman" w:hAnsi="Times New Roman" w:cs="Times New Roman" w:hint="eastAsia"/>
        </w:rPr>
        <w:t>55</w:t>
      </w:r>
      <w:r w:rsidRPr="007C34D6">
        <w:rPr>
          <w:rFonts w:ascii="Times New Roman" w:hAnsi="Times New Roman" w:cs="Times New Roman" w:hint="eastAsia"/>
        </w:rPr>
        <w:t>±</w:t>
      </w:r>
      <w:r w:rsidRPr="007C34D6">
        <w:rPr>
          <w:rFonts w:ascii="Times New Roman" w:hAnsi="Times New Roman" w:cs="Times New Roman" w:hint="eastAsia"/>
        </w:rPr>
        <w:t>5%</w:t>
      </w:r>
      <w:r w:rsidRPr="007C34D6">
        <w:rPr>
          <w:rFonts w:ascii="Times New Roman" w:hAnsi="Times New Roman" w:cs="Times New Roman" w:hint="eastAsia"/>
        </w:rPr>
        <w:t>细胞毒性的剂量，即细胞覆盖程度、细胞计数，或原代培养的淋巴细胞有丝分裂指数降低到阴性对照组的</w:t>
      </w:r>
      <w:r w:rsidRPr="007C34D6">
        <w:rPr>
          <w:rFonts w:ascii="Times New Roman" w:hAnsi="Times New Roman" w:cs="Times New Roman" w:hint="eastAsia"/>
        </w:rPr>
        <w:t>45</w:t>
      </w:r>
      <w:r w:rsidRPr="007C34D6">
        <w:rPr>
          <w:rFonts w:ascii="Times New Roman" w:hAnsi="Times New Roman" w:cs="Times New Roman" w:hint="eastAsia"/>
        </w:rPr>
        <w:t>±</w:t>
      </w:r>
      <w:r w:rsidRPr="007C34D6">
        <w:rPr>
          <w:rFonts w:ascii="Times New Roman" w:hAnsi="Times New Roman" w:cs="Times New Roman" w:hint="eastAsia"/>
        </w:rPr>
        <w:t>5%</w:t>
      </w:r>
      <w:r w:rsidRPr="007C34D6">
        <w:rPr>
          <w:rFonts w:ascii="Times New Roman" w:hAnsi="Times New Roman" w:cs="Times New Roman" w:hint="eastAsia"/>
        </w:rPr>
        <w:t>。</w:t>
      </w:r>
    </w:p>
    <w:p w:rsidR="00815371" w:rsidRPr="007C34D6" w:rsidRDefault="00C451AC"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rPr>
        <w:t>原方法中作染色体分析的细胞数为化妆品终产品选择</w:t>
      </w:r>
      <w:r w:rsidRPr="007C34D6">
        <w:rPr>
          <w:rFonts w:ascii="Times New Roman" w:hAnsi="Times New Roman" w:cs="Times New Roman"/>
        </w:rPr>
        <w:t>100</w:t>
      </w:r>
      <w:r w:rsidRPr="007C34D6">
        <w:rPr>
          <w:rFonts w:ascii="Times New Roman" w:hAnsi="Times New Roman" w:cs="Times New Roman"/>
        </w:rPr>
        <w:t>个</w:t>
      </w:r>
      <w:r w:rsidRPr="007C34D6">
        <w:rPr>
          <w:rFonts w:ascii="Times New Roman" w:hAnsi="Times New Roman" w:cs="Times New Roman" w:hint="eastAsia"/>
        </w:rPr>
        <w:t>分散良好的中期分裂相细胞</w:t>
      </w:r>
      <w:r w:rsidRPr="007C34D6">
        <w:rPr>
          <w:rFonts w:ascii="Times New Roman" w:hAnsi="Times New Roman" w:cs="Times New Roman"/>
        </w:rPr>
        <w:t>，原料选</w:t>
      </w:r>
      <w:r w:rsidRPr="007C34D6">
        <w:rPr>
          <w:rFonts w:ascii="Times New Roman" w:hAnsi="Times New Roman" w:cs="Times New Roman"/>
        </w:rPr>
        <w:t>200</w:t>
      </w:r>
      <w:r w:rsidRPr="007C34D6">
        <w:rPr>
          <w:rFonts w:ascii="Times New Roman" w:hAnsi="Times New Roman" w:cs="Times New Roman"/>
        </w:rPr>
        <w:t>个细胞，且对分析时需记录的细胞情况要求较为简单。</w:t>
      </w:r>
      <w:r w:rsidRPr="007C34D6">
        <w:rPr>
          <w:rFonts w:ascii="Times New Roman" w:hAnsi="Times New Roman" w:cs="Times New Roman" w:hint="eastAsia"/>
        </w:rPr>
        <w:t>为获得准确的分析结果，</w:t>
      </w:r>
      <w:r w:rsidRPr="007C34D6">
        <w:rPr>
          <w:rFonts w:ascii="Times New Roman" w:hAnsi="Times New Roman" w:cs="Times New Roman"/>
        </w:rPr>
        <w:t>修订后的方法调整为应选择</w:t>
      </w:r>
      <w:r w:rsidRPr="007C34D6">
        <w:rPr>
          <w:rFonts w:ascii="Times New Roman" w:hAnsi="Times New Roman" w:cs="Times New Roman"/>
        </w:rPr>
        <w:t>300</w:t>
      </w:r>
      <w:r w:rsidRPr="007C34D6">
        <w:rPr>
          <w:rFonts w:ascii="Times New Roman" w:hAnsi="Times New Roman" w:cs="Times New Roman"/>
        </w:rPr>
        <w:t>个</w:t>
      </w:r>
      <w:r w:rsidRPr="007C34D6">
        <w:rPr>
          <w:rFonts w:ascii="Times New Roman" w:hAnsi="Times New Roman" w:cs="Times New Roman" w:hint="eastAsia"/>
        </w:rPr>
        <w:t>分散良好的中期分裂相细胞，结果明确时可减少阳性对照细胞数（一般不少于</w:t>
      </w:r>
      <w:r w:rsidRPr="007C34D6">
        <w:rPr>
          <w:rFonts w:ascii="Times New Roman" w:hAnsi="Times New Roman" w:cs="Times New Roman"/>
        </w:rPr>
        <w:t>100</w:t>
      </w:r>
      <w:r w:rsidRPr="007C34D6">
        <w:rPr>
          <w:rFonts w:ascii="Times New Roman" w:hAnsi="Times New Roman" w:cs="Times New Roman" w:hint="eastAsia"/>
        </w:rPr>
        <w:t>个），并且不再区分</w:t>
      </w:r>
      <w:r w:rsidRPr="007C34D6">
        <w:rPr>
          <w:rFonts w:ascii="Times New Roman" w:hAnsi="Times New Roman" w:cs="Times New Roman"/>
        </w:rPr>
        <w:t>化妆品终产品和原料。此外，为规范实验数据分析和记录，加强操作性，对染色体分析和结果记录进行了更为详细的规定。</w:t>
      </w:r>
    </w:p>
    <w:p w:rsidR="00815371" w:rsidRPr="007C34D6" w:rsidRDefault="00C451AC"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hint="eastAsia"/>
        </w:rPr>
        <w:t>在</w:t>
      </w:r>
      <w:r w:rsidRPr="007C34D6">
        <w:rPr>
          <w:rFonts w:ascii="Times New Roman" w:hAnsi="Times New Roman" w:cs="Times New Roman"/>
        </w:rPr>
        <w:t>5.1.</w:t>
      </w:r>
      <w:r w:rsidRPr="007C34D6">
        <w:rPr>
          <w:rFonts w:ascii="Times New Roman" w:hAnsi="Times New Roman" w:cs="Times New Roman" w:hint="eastAsia"/>
        </w:rPr>
        <w:t>4</w:t>
      </w:r>
      <w:r w:rsidRPr="007C34D6">
        <w:rPr>
          <w:rFonts w:ascii="Times New Roman" w:hAnsi="Times New Roman" w:cs="Times New Roman" w:hint="eastAsia"/>
        </w:rPr>
        <w:t>中明确了应通过预试验获得正式试验的最高受试物浓度。在</w:t>
      </w:r>
      <w:r w:rsidRPr="007C34D6">
        <w:rPr>
          <w:rFonts w:ascii="Times New Roman" w:hAnsi="Times New Roman" w:cs="Times New Roman"/>
        </w:rPr>
        <w:t>5.1.5</w:t>
      </w:r>
      <w:r w:rsidRPr="007C34D6">
        <w:rPr>
          <w:rFonts w:ascii="Times New Roman" w:hAnsi="Times New Roman" w:cs="Times New Roman" w:hint="eastAsia"/>
        </w:rPr>
        <w:t>对链霉素的使用浓度进行了规范。在</w:t>
      </w:r>
      <w:r w:rsidRPr="007C34D6">
        <w:rPr>
          <w:rFonts w:ascii="Times New Roman" w:hAnsi="Times New Roman" w:cs="Times New Roman"/>
        </w:rPr>
        <w:t>5.2.1</w:t>
      </w:r>
      <w:r w:rsidRPr="007C34D6">
        <w:rPr>
          <w:rFonts w:ascii="Times New Roman" w:hAnsi="Times New Roman" w:cs="Times New Roman" w:hint="eastAsia"/>
        </w:rPr>
        <w:t>中增加对细胞定期检查的相关要求，补充了可用的细胞系和对选用原代细胞</w:t>
      </w:r>
      <w:r w:rsidRPr="007C34D6">
        <w:rPr>
          <w:rFonts w:ascii="Times New Roman" w:hAnsi="Times New Roman" w:cs="Times New Roman"/>
        </w:rPr>
        <w:t>的要求。在</w:t>
      </w:r>
      <w:r w:rsidRPr="007C34D6">
        <w:rPr>
          <w:rFonts w:ascii="Times New Roman" w:hAnsi="Times New Roman" w:cs="Times New Roman"/>
        </w:rPr>
        <w:t>5.2.4</w:t>
      </w:r>
      <w:r w:rsidRPr="007C34D6">
        <w:rPr>
          <w:rFonts w:ascii="Times New Roman" w:hAnsi="Times New Roman" w:cs="Times New Roman"/>
        </w:rPr>
        <w:t>中明确当受试物为原料时，在不加</w:t>
      </w:r>
      <w:r w:rsidR="007C34D6" w:rsidRPr="007C34D6">
        <w:t>S</w:t>
      </w:r>
      <w:r w:rsidR="007C34D6" w:rsidRPr="007C34D6">
        <w:rPr>
          <w:vertAlign w:val="subscript"/>
        </w:rPr>
        <w:t>9</w:t>
      </w:r>
      <w:r w:rsidRPr="007C34D6">
        <w:rPr>
          <w:rFonts w:ascii="Times New Roman" w:hAnsi="Times New Roman" w:cs="Times New Roman"/>
        </w:rPr>
        <w:t xml:space="preserve"> mix</w:t>
      </w:r>
      <w:r w:rsidRPr="007C34D6">
        <w:rPr>
          <w:rFonts w:ascii="Times New Roman" w:hAnsi="Times New Roman" w:cs="Times New Roman"/>
        </w:rPr>
        <w:t>的条件下，使受试物与试验系统的接触时间延长至</w:t>
      </w:r>
      <w:r w:rsidRPr="007C34D6">
        <w:rPr>
          <w:rFonts w:ascii="Times New Roman" w:hAnsi="Times New Roman" w:cs="Times New Roman"/>
        </w:rPr>
        <w:t>24 h</w:t>
      </w:r>
      <w:r w:rsidRPr="007C34D6">
        <w:rPr>
          <w:rFonts w:ascii="Times New Roman" w:hAnsi="Times New Roman" w:cs="Times New Roman"/>
        </w:rPr>
        <w:t>时接触过程中需加入含</w:t>
      </w:r>
      <w:r w:rsidRPr="007C34D6">
        <w:rPr>
          <w:rFonts w:ascii="Times New Roman" w:hAnsi="Times New Roman" w:cs="Times New Roman"/>
        </w:rPr>
        <w:t>10%</w:t>
      </w:r>
      <w:r w:rsidRPr="007C34D6">
        <w:rPr>
          <w:rFonts w:ascii="Times New Roman" w:hAnsi="Times New Roman" w:cs="Times New Roman"/>
        </w:rPr>
        <w:t>胎牛血清的培养液。</w:t>
      </w:r>
    </w:p>
    <w:p w:rsidR="00815371" w:rsidRPr="007C34D6" w:rsidRDefault="00C451AC"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hint="eastAsia"/>
        </w:rPr>
        <w:t>在第</w:t>
      </w:r>
      <w:r w:rsidRPr="007C34D6">
        <w:rPr>
          <w:rFonts w:ascii="Times New Roman" w:hAnsi="Times New Roman" w:cs="Times New Roman"/>
        </w:rPr>
        <w:t>3</w:t>
      </w:r>
      <w:r w:rsidRPr="007C34D6">
        <w:rPr>
          <w:rFonts w:ascii="Times New Roman" w:hAnsi="Times New Roman" w:cs="Times New Roman" w:hint="eastAsia"/>
        </w:rPr>
        <w:t>部分对修订后的文本中涉及的定义进行了增加。</w:t>
      </w:r>
    </w:p>
    <w:p w:rsidR="00815371" w:rsidRPr="007C34D6" w:rsidRDefault="00C451AC"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hint="eastAsia"/>
        </w:rPr>
        <w:t>对原方法的表述进行了规范。对原方法进行了勘误，如原方法中“推荐使用中国地鼠卵巢（</w:t>
      </w:r>
      <w:r w:rsidRPr="007C34D6">
        <w:rPr>
          <w:rFonts w:ascii="Times New Roman" w:hAnsi="Times New Roman" w:cs="Times New Roman"/>
        </w:rPr>
        <w:t>CHO</w:t>
      </w:r>
      <w:r w:rsidRPr="007C34D6">
        <w:rPr>
          <w:rFonts w:ascii="Times New Roman" w:hAnsi="Times New Roman" w:cs="Times New Roman" w:hint="eastAsia"/>
        </w:rPr>
        <w:t>）细胞株或中国地鼠肺（</w:t>
      </w:r>
      <w:r w:rsidRPr="007C34D6">
        <w:rPr>
          <w:rFonts w:ascii="Times New Roman" w:hAnsi="Times New Roman" w:cs="Times New Roman"/>
        </w:rPr>
        <w:t>CHL</w:t>
      </w:r>
      <w:r w:rsidRPr="007C34D6">
        <w:rPr>
          <w:rFonts w:ascii="Times New Roman" w:hAnsi="Times New Roman" w:cs="Times New Roman" w:hint="eastAsia"/>
        </w:rPr>
        <w:t>）细胞株”，实际应为中国仓鼠。</w:t>
      </w:r>
    </w:p>
    <w:p w:rsidR="00815371" w:rsidRPr="007C34D6" w:rsidRDefault="00C451AC">
      <w:pPr>
        <w:pStyle w:val="1"/>
        <w:spacing w:beforeLines="50" w:before="156" w:afterLines="50" w:after="156" w:line="300" w:lineRule="auto"/>
        <w:rPr>
          <w:rFonts w:ascii="黑体" w:hAnsi="黑体"/>
          <w:sz w:val="21"/>
          <w:szCs w:val="21"/>
        </w:rPr>
      </w:pPr>
      <w:r w:rsidRPr="007C34D6">
        <w:rPr>
          <w:rFonts w:ascii="黑体" w:hAnsi="黑体"/>
          <w:sz w:val="21"/>
          <w:szCs w:val="21"/>
        </w:rPr>
        <w:t>五、国际相关标准情况</w:t>
      </w:r>
    </w:p>
    <w:p w:rsidR="00815371" w:rsidRPr="007C34D6" w:rsidRDefault="00407B2B" w:rsidP="007C34D6">
      <w:pPr>
        <w:pStyle w:val="a4"/>
        <w:spacing w:beforeLines="0" w:afterLines="0"/>
        <w:ind w:firstLineChars="200" w:firstLine="420"/>
        <w:rPr>
          <w:rFonts w:ascii="Times New Roman" w:hAnsi="Times New Roman" w:cs="Times New Roman"/>
        </w:rPr>
      </w:pPr>
      <w:r w:rsidRPr="007C34D6">
        <w:rPr>
          <w:rFonts w:ascii="Times New Roman" w:hAnsi="Times New Roman" w:cs="Times New Roman" w:hint="eastAsia"/>
        </w:rPr>
        <w:t>本方法修订时参考了经济合作</w:t>
      </w:r>
      <w:r w:rsidR="00C451AC" w:rsidRPr="007C34D6">
        <w:rPr>
          <w:rFonts w:ascii="Times New Roman" w:hAnsi="Times New Roman" w:cs="Times New Roman" w:hint="eastAsia"/>
        </w:rPr>
        <w:t>发展组织（</w:t>
      </w:r>
      <w:r w:rsidR="00C451AC" w:rsidRPr="007C34D6">
        <w:rPr>
          <w:rFonts w:ascii="Times New Roman" w:hAnsi="Times New Roman" w:cs="Times New Roman" w:hint="eastAsia"/>
        </w:rPr>
        <w:t>OECD</w:t>
      </w:r>
      <w:r w:rsidR="00C451AC" w:rsidRPr="007C34D6">
        <w:rPr>
          <w:rFonts w:ascii="Times New Roman" w:hAnsi="Times New Roman" w:cs="Times New Roman" w:hint="eastAsia"/>
        </w:rPr>
        <w:t>）的方法：</w:t>
      </w:r>
      <w:r w:rsidR="007C34D6" w:rsidRPr="007C34D6">
        <w:rPr>
          <w:rFonts w:ascii="Times New Roman" w:hAnsi="Times New Roman" w:cs="Times New Roman" w:hint="eastAsia"/>
        </w:rPr>
        <w:t>No.473</w:t>
      </w:r>
      <w:r w:rsidR="007C34D6">
        <w:rPr>
          <w:rFonts w:ascii="Times New Roman" w:hAnsi="Times New Roman" w:cs="Times New Roman" w:hint="eastAsia"/>
        </w:rPr>
        <w:t xml:space="preserve"> </w:t>
      </w:r>
      <w:r w:rsidR="00C451AC" w:rsidRPr="007C34D6">
        <w:rPr>
          <w:rFonts w:ascii="Times New Roman" w:hAnsi="Times New Roman" w:cs="Times New Roman" w:hint="eastAsia"/>
        </w:rPr>
        <w:t>In vitro mammalian chromosomal aberration test</w:t>
      </w:r>
      <w:r w:rsidR="00C451AC" w:rsidRPr="007C34D6">
        <w:rPr>
          <w:rFonts w:ascii="Times New Roman" w:hAnsi="Times New Roman" w:cs="Times New Roman" w:hint="eastAsia"/>
        </w:rPr>
        <w:t>。</w:t>
      </w:r>
      <w:bookmarkStart w:id="13" w:name="_GoBack"/>
      <w:bookmarkEnd w:id="13"/>
    </w:p>
    <w:p w:rsidR="00815371" w:rsidRDefault="00815371">
      <w:pPr>
        <w:spacing w:line="300" w:lineRule="auto"/>
        <w:outlineLvl w:val="0"/>
        <w:rPr>
          <w:bCs/>
          <w:kern w:val="44"/>
          <w:szCs w:val="21"/>
        </w:rPr>
      </w:pPr>
    </w:p>
    <w:p w:rsidR="00815371" w:rsidRDefault="00815371">
      <w:pPr>
        <w:spacing w:line="300" w:lineRule="auto"/>
      </w:pPr>
    </w:p>
    <w:p w:rsidR="00815371" w:rsidRPr="00407B2B" w:rsidRDefault="00815371"/>
    <w:p w:rsidR="00815371" w:rsidRDefault="00815371">
      <w:pPr>
        <w:spacing w:line="300" w:lineRule="auto"/>
        <w:ind w:firstLineChars="200" w:firstLine="420"/>
        <w:rPr>
          <w:szCs w:val="21"/>
        </w:rPr>
      </w:pPr>
    </w:p>
    <w:p w:rsidR="00815371" w:rsidRDefault="00815371">
      <w:pPr>
        <w:widowControl/>
        <w:jc w:val="left"/>
        <w:rPr>
          <w:rFonts w:eastAsia="黑体"/>
          <w:iCs/>
          <w:kern w:val="0"/>
          <w:sz w:val="32"/>
          <w:szCs w:val="21"/>
        </w:rPr>
      </w:pPr>
    </w:p>
    <w:sectPr w:rsidR="0081537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BBE8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6E" w:rsidRDefault="001A1F6E" w:rsidP="0066647A">
      <w:r>
        <w:separator/>
      </w:r>
    </w:p>
  </w:endnote>
  <w:endnote w:type="continuationSeparator" w:id="0">
    <w:p w:rsidR="001A1F6E" w:rsidRDefault="001A1F6E" w:rsidP="0066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6E" w:rsidRDefault="001A1F6E" w:rsidP="0066647A">
      <w:r>
        <w:separator/>
      </w:r>
    </w:p>
  </w:footnote>
  <w:footnote w:type="continuationSeparator" w:id="0">
    <w:p w:rsidR="001A1F6E" w:rsidRDefault="001A1F6E" w:rsidP="00666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lvlText w:val="（%1）"/>
      <w:lvlJc w:val="left"/>
      <w:pPr>
        <w:tabs>
          <w:tab w:val="left" w:pos="630"/>
        </w:tabs>
        <w:ind w:left="630" w:hanging="525"/>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
    <w15:presenceInfo w15:providerId="None" w15:userId="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56"/>
    <w:rsid w:val="00000946"/>
    <w:rsid w:val="000032AB"/>
    <w:rsid w:val="00003595"/>
    <w:rsid w:val="0000560F"/>
    <w:rsid w:val="000110A6"/>
    <w:rsid w:val="00023009"/>
    <w:rsid w:val="00025DF6"/>
    <w:rsid w:val="00032689"/>
    <w:rsid w:val="00032A1F"/>
    <w:rsid w:val="00034870"/>
    <w:rsid w:val="00036F1E"/>
    <w:rsid w:val="000405BA"/>
    <w:rsid w:val="000424D0"/>
    <w:rsid w:val="00046AEB"/>
    <w:rsid w:val="00053381"/>
    <w:rsid w:val="00054D4C"/>
    <w:rsid w:val="00055CEC"/>
    <w:rsid w:val="000560CF"/>
    <w:rsid w:val="000603BF"/>
    <w:rsid w:val="00061AD2"/>
    <w:rsid w:val="00062142"/>
    <w:rsid w:val="00062175"/>
    <w:rsid w:val="000664D5"/>
    <w:rsid w:val="000701E2"/>
    <w:rsid w:val="000712F0"/>
    <w:rsid w:val="00072661"/>
    <w:rsid w:val="00076CAF"/>
    <w:rsid w:val="000812E0"/>
    <w:rsid w:val="00084A5B"/>
    <w:rsid w:val="00085419"/>
    <w:rsid w:val="00087BF7"/>
    <w:rsid w:val="000955E1"/>
    <w:rsid w:val="000A1271"/>
    <w:rsid w:val="000A2244"/>
    <w:rsid w:val="000B290E"/>
    <w:rsid w:val="000B2C66"/>
    <w:rsid w:val="000B3C25"/>
    <w:rsid w:val="000B5E67"/>
    <w:rsid w:val="000C393A"/>
    <w:rsid w:val="000C43A2"/>
    <w:rsid w:val="000C7C52"/>
    <w:rsid w:val="000D182E"/>
    <w:rsid w:val="000E3B6B"/>
    <w:rsid w:val="000E5A2C"/>
    <w:rsid w:val="000F0067"/>
    <w:rsid w:val="000F23C8"/>
    <w:rsid w:val="000F75C1"/>
    <w:rsid w:val="001012DB"/>
    <w:rsid w:val="0010694F"/>
    <w:rsid w:val="00107DB9"/>
    <w:rsid w:val="001132D3"/>
    <w:rsid w:val="0011370A"/>
    <w:rsid w:val="00113FC5"/>
    <w:rsid w:val="00115A57"/>
    <w:rsid w:val="00122736"/>
    <w:rsid w:val="00122790"/>
    <w:rsid w:val="00125583"/>
    <w:rsid w:val="00125E80"/>
    <w:rsid w:val="00135F80"/>
    <w:rsid w:val="00147666"/>
    <w:rsid w:val="00147AA8"/>
    <w:rsid w:val="00147BF8"/>
    <w:rsid w:val="00150FEA"/>
    <w:rsid w:val="0015351B"/>
    <w:rsid w:val="00154B1C"/>
    <w:rsid w:val="00156451"/>
    <w:rsid w:val="00170050"/>
    <w:rsid w:val="0017129E"/>
    <w:rsid w:val="001867E5"/>
    <w:rsid w:val="001952AD"/>
    <w:rsid w:val="001A03BC"/>
    <w:rsid w:val="001A045F"/>
    <w:rsid w:val="001A0805"/>
    <w:rsid w:val="001A1F6E"/>
    <w:rsid w:val="001A4A1D"/>
    <w:rsid w:val="001A67EF"/>
    <w:rsid w:val="001B21B3"/>
    <w:rsid w:val="001B3AFF"/>
    <w:rsid w:val="001B5991"/>
    <w:rsid w:val="001B5BD9"/>
    <w:rsid w:val="001B6107"/>
    <w:rsid w:val="001B70F5"/>
    <w:rsid w:val="001C0B7B"/>
    <w:rsid w:val="001C16CF"/>
    <w:rsid w:val="001C2C89"/>
    <w:rsid w:val="001C3CF3"/>
    <w:rsid w:val="001D1EEE"/>
    <w:rsid w:val="001D5954"/>
    <w:rsid w:val="001D5CBB"/>
    <w:rsid w:val="001D6549"/>
    <w:rsid w:val="001E0EC8"/>
    <w:rsid w:val="001E0EFB"/>
    <w:rsid w:val="001E18C4"/>
    <w:rsid w:val="001E1A35"/>
    <w:rsid w:val="001E39FE"/>
    <w:rsid w:val="001E7054"/>
    <w:rsid w:val="001E7123"/>
    <w:rsid w:val="001F2862"/>
    <w:rsid w:val="001F42DA"/>
    <w:rsid w:val="001F4A15"/>
    <w:rsid w:val="001F57D7"/>
    <w:rsid w:val="00202171"/>
    <w:rsid w:val="00206F7F"/>
    <w:rsid w:val="00211770"/>
    <w:rsid w:val="002202F0"/>
    <w:rsid w:val="00221624"/>
    <w:rsid w:val="00221BAC"/>
    <w:rsid w:val="00221FC6"/>
    <w:rsid w:val="0022232C"/>
    <w:rsid w:val="00222E07"/>
    <w:rsid w:val="00222E68"/>
    <w:rsid w:val="002234E7"/>
    <w:rsid w:val="002260AA"/>
    <w:rsid w:val="00230522"/>
    <w:rsid w:val="0023199A"/>
    <w:rsid w:val="00232A40"/>
    <w:rsid w:val="00232EC4"/>
    <w:rsid w:val="002346C3"/>
    <w:rsid w:val="00234973"/>
    <w:rsid w:val="00240821"/>
    <w:rsid w:val="002463DB"/>
    <w:rsid w:val="00253200"/>
    <w:rsid w:val="00254871"/>
    <w:rsid w:val="002554FF"/>
    <w:rsid w:val="00261B62"/>
    <w:rsid w:val="00264545"/>
    <w:rsid w:val="00267168"/>
    <w:rsid w:val="00267315"/>
    <w:rsid w:val="002674AF"/>
    <w:rsid w:val="00270398"/>
    <w:rsid w:val="00270F12"/>
    <w:rsid w:val="00273E52"/>
    <w:rsid w:val="0027634B"/>
    <w:rsid w:val="00281B68"/>
    <w:rsid w:val="00281E50"/>
    <w:rsid w:val="0028378C"/>
    <w:rsid w:val="00283BBA"/>
    <w:rsid w:val="002849FD"/>
    <w:rsid w:val="002861F4"/>
    <w:rsid w:val="00290EA0"/>
    <w:rsid w:val="002967DA"/>
    <w:rsid w:val="002A066F"/>
    <w:rsid w:val="002B1E7B"/>
    <w:rsid w:val="002B6B39"/>
    <w:rsid w:val="002B7121"/>
    <w:rsid w:val="002C1DD1"/>
    <w:rsid w:val="002C4199"/>
    <w:rsid w:val="002C4460"/>
    <w:rsid w:val="002C4BD4"/>
    <w:rsid w:val="002D68F1"/>
    <w:rsid w:val="002D753B"/>
    <w:rsid w:val="002D7D34"/>
    <w:rsid w:val="002E11AF"/>
    <w:rsid w:val="002E3602"/>
    <w:rsid w:val="002E4434"/>
    <w:rsid w:val="002E4D47"/>
    <w:rsid w:val="002F143D"/>
    <w:rsid w:val="002F37DD"/>
    <w:rsid w:val="002F3AEB"/>
    <w:rsid w:val="002F4EB1"/>
    <w:rsid w:val="002F7C56"/>
    <w:rsid w:val="003012AB"/>
    <w:rsid w:val="00301EDA"/>
    <w:rsid w:val="00301F41"/>
    <w:rsid w:val="00302F50"/>
    <w:rsid w:val="00303158"/>
    <w:rsid w:val="0030727E"/>
    <w:rsid w:val="00312587"/>
    <w:rsid w:val="00313E7D"/>
    <w:rsid w:val="00321032"/>
    <w:rsid w:val="003241BD"/>
    <w:rsid w:val="00331053"/>
    <w:rsid w:val="00331384"/>
    <w:rsid w:val="00333683"/>
    <w:rsid w:val="0034172A"/>
    <w:rsid w:val="003559A8"/>
    <w:rsid w:val="00356CC8"/>
    <w:rsid w:val="00356E9B"/>
    <w:rsid w:val="00357E6C"/>
    <w:rsid w:val="003652AD"/>
    <w:rsid w:val="00375BE3"/>
    <w:rsid w:val="003761FD"/>
    <w:rsid w:val="00376691"/>
    <w:rsid w:val="003804E2"/>
    <w:rsid w:val="00380B25"/>
    <w:rsid w:val="003A1EBE"/>
    <w:rsid w:val="003A5B57"/>
    <w:rsid w:val="003A7A07"/>
    <w:rsid w:val="003B06B0"/>
    <w:rsid w:val="003B0E9B"/>
    <w:rsid w:val="003B611D"/>
    <w:rsid w:val="003B62F2"/>
    <w:rsid w:val="003B6DB3"/>
    <w:rsid w:val="003C02DE"/>
    <w:rsid w:val="003C29AD"/>
    <w:rsid w:val="003C2A37"/>
    <w:rsid w:val="003C3AE8"/>
    <w:rsid w:val="003C6A6B"/>
    <w:rsid w:val="003C79FF"/>
    <w:rsid w:val="003C7D0C"/>
    <w:rsid w:val="003D224C"/>
    <w:rsid w:val="003D265F"/>
    <w:rsid w:val="003D3653"/>
    <w:rsid w:val="003E103A"/>
    <w:rsid w:val="003E1FA0"/>
    <w:rsid w:val="003E22B9"/>
    <w:rsid w:val="003E63A5"/>
    <w:rsid w:val="003E7716"/>
    <w:rsid w:val="003F067B"/>
    <w:rsid w:val="003F1BF4"/>
    <w:rsid w:val="003F25EE"/>
    <w:rsid w:val="003F2616"/>
    <w:rsid w:val="003F4670"/>
    <w:rsid w:val="003F5A74"/>
    <w:rsid w:val="00400FC0"/>
    <w:rsid w:val="00402ECB"/>
    <w:rsid w:val="00404144"/>
    <w:rsid w:val="00407B2B"/>
    <w:rsid w:val="00413C24"/>
    <w:rsid w:val="004143D2"/>
    <w:rsid w:val="0041515E"/>
    <w:rsid w:val="00415850"/>
    <w:rsid w:val="004165F1"/>
    <w:rsid w:val="0042085D"/>
    <w:rsid w:val="004225EE"/>
    <w:rsid w:val="00422898"/>
    <w:rsid w:val="00425CDC"/>
    <w:rsid w:val="00426A72"/>
    <w:rsid w:val="004272F6"/>
    <w:rsid w:val="004322BC"/>
    <w:rsid w:val="0043345F"/>
    <w:rsid w:val="0043690A"/>
    <w:rsid w:val="00436D45"/>
    <w:rsid w:val="004374FE"/>
    <w:rsid w:val="00437CA3"/>
    <w:rsid w:val="00445FCA"/>
    <w:rsid w:val="0044626F"/>
    <w:rsid w:val="00450BCB"/>
    <w:rsid w:val="00456528"/>
    <w:rsid w:val="00461866"/>
    <w:rsid w:val="00461A48"/>
    <w:rsid w:val="00462FC3"/>
    <w:rsid w:val="004650CA"/>
    <w:rsid w:val="00466319"/>
    <w:rsid w:val="00466B03"/>
    <w:rsid w:val="00471298"/>
    <w:rsid w:val="00474E73"/>
    <w:rsid w:val="0048398B"/>
    <w:rsid w:val="00484CDB"/>
    <w:rsid w:val="00485657"/>
    <w:rsid w:val="00492FE4"/>
    <w:rsid w:val="00494AD6"/>
    <w:rsid w:val="00495CAF"/>
    <w:rsid w:val="0049655D"/>
    <w:rsid w:val="004A083F"/>
    <w:rsid w:val="004A2484"/>
    <w:rsid w:val="004A65A9"/>
    <w:rsid w:val="004B127D"/>
    <w:rsid w:val="004B13B6"/>
    <w:rsid w:val="004B241B"/>
    <w:rsid w:val="004B4502"/>
    <w:rsid w:val="004B7F22"/>
    <w:rsid w:val="004C140A"/>
    <w:rsid w:val="004C15E6"/>
    <w:rsid w:val="004C7490"/>
    <w:rsid w:val="004D3E8D"/>
    <w:rsid w:val="004D53D0"/>
    <w:rsid w:val="004D6105"/>
    <w:rsid w:val="004E2907"/>
    <w:rsid w:val="004E2A2E"/>
    <w:rsid w:val="004E4AC7"/>
    <w:rsid w:val="004E55AB"/>
    <w:rsid w:val="004F0139"/>
    <w:rsid w:val="004F067B"/>
    <w:rsid w:val="004F5CB8"/>
    <w:rsid w:val="00502922"/>
    <w:rsid w:val="00505166"/>
    <w:rsid w:val="00505731"/>
    <w:rsid w:val="00512C05"/>
    <w:rsid w:val="00512F50"/>
    <w:rsid w:val="00514274"/>
    <w:rsid w:val="00514C20"/>
    <w:rsid w:val="005167B3"/>
    <w:rsid w:val="00517A9A"/>
    <w:rsid w:val="00520D5E"/>
    <w:rsid w:val="005258D6"/>
    <w:rsid w:val="00526159"/>
    <w:rsid w:val="005263B9"/>
    <w:rsid w:val="00527F56"/>
    <w:rsid w:val="005302A9"/>
    <w:rsid w:val="00532056"/>
    <w:rsid w:val="00533736"/>
    <w:rsid w:val="0053406A"/>
    <w:rsid w:val="00534C16"/>
    <w:rsid w:val="0053561E"/>
    <w:rsid w:val="005374FD"/>
    <w:rsid w:val="00551D07"/>
    <w:rsid w:val="00554467"/>
    <w:rsid w:val="005558D5"/>
    <w:rsid w:val="005603CF"/>
    <w:rsid w:val="00561DF1"/>
    <w:rsid w:val="00565F69"/>
    <w:rsid w:val="00566209"/>
    <w:rsid w:val="00591F1C"/>
    <w:rsid w:val="00594B76"/>
    <w:rsid w:val="005960E7"/>
    <w:rsid w:val="0059771E"/>
    <w:rsid w:val="005A21D2"/>
    <w:rsid w:val="005A338F"/>
    <w:rsid w:val="005B1D72"/>
    <w:rsid w:val="005B423C"/>
    <w:rsid w:val="005B779C"/>
    <w:rsid w:val="005C4567"/>
    <w:rsid w:val="005D1442"/>
    <w:rsid w:val="005D215F"/>
    <w:rsid w:val="005D51FE"/>
    <w:rsid w:val="005E15C7"/>
    <w:rsid w:val="005E3E85"/>
    <w:rsid w:val="005F1EA9"/>
    <w:rsid w:val="005F255C"/>
    <w:rsid w:val="005F5FE1"/>
    <w:rsid w:val="005F6515"/>
    <w:rsid w:val="005F7016"/>
    <w:rsid w:val="005F727A"/>
    <w:rsid w:val="00600C2A"/>
    <w:rsid w:val="0060109F"/>
    <w:rsid w:val="00602412"/>
    <w:rsid w:val="006053B2"/>
    <w:rsid w:val="006062F2"/>
    <w:rsid w:val="00606BFD"/>
    <w:rsid w:val="00606FED"/>
    <w:rsid w:val="00607536"/>
    <w:rsid w:val="006100FC"/>
    <w:rsid w:val="006130FA"/>
    <w:rsid w:val="00615546"/>
    <w:rsid w:val="006160D9"/>
    <w:rsid w:val="00617449"/>
    <w:rsid w:val="00621F38"/>
    <w:rsid w:val="00624178"/>
    <w:rsid w:val="00626A5D"/>
    <w:rsid w:val="00632ADF"/>
    <w:rsid w:val="006374D9"/>
    <w:rsid w:val="00640942"/>
    <w:rsid w:val="006428BA"/>
    <w:rsid w:val="006434A6"/>
    <w:rsid w:val="00644162"/>
    <w:rsid w:val="00645114"/>
    <w:rsid w:val="0064651A"/>
    <w:rsid w:val="00650D52"/>
    <w:rsid w:val="00651AD3"/>
    <w:rsid w:val="0065220A"/>
    <w:rsid w:val="00656394"/>
    <w:rsid w:val="0065722D"/>
    <w:rsid w:val="00660626"/>
    <w:rsid w:val="006645E5"/>
    <w:rsid w:val="00665D92"/>
    <w:rsid w:val="0066647A"/>
    <w:rsid w:val="0067002B"/>
    <w:rsid w:val="0067140B"/>
    <w:rsid w:val="0067314B"/>
    <w:rsid w:val="00673F2D"/>
    <w:rsid w:val="00677BAE"/>
    <w:rsid w:val="00677DC3"/>
    <w:rsid w:val="0068096C"/>
    <w:rsid w:val="006816EF"/>
    <w:rsid w:val="00681F4A"/>
    <w:rsid w:val="0068230E"/>
    <w:rsid w:val="00682831"/>
    <w:rsid w:val="00683844"/>
    <w:rsid w:val="0069028E"/>
    <w:rsid w:val="00690F35"/>
    <w:rsid w:val="0069135D"/>
    <w:rsid w:val="00694F68"/>
    <w:rsid w:val="00695DF3"/>
    <w:rsid w:val="006A4175"/>
    <w:rsid w:val="006A455E"/>
    <w:rsid w:val="006B0254"/>
    <w:rsid w:val="006B137B"/>
    <w:rsid w:val="006B3D6D"/>
    <w:rsid w:val="006B4BEE"/>
    <w:rsid w:val="006B6C77"/>
    <w:rsid w:val="006C14BB"/>
    <w:rsid w:val="006C3A8A"/>
    <w:rsid w:val="006C47BB"/>
    <w:rsid w:val="006C4D97"/>
    <w:rsid w:val="006D23F7"/>
    <w:rsid w:val="006D4C7F"/>
    <w:rsid w:val="006D53CC"/>
    <w:rsid w:val="006D580A"/>
    <w:rsid w:val="006D679A"/>
    <w:rsid w:val="006E0D7A"/>
    <w:rsid w:val="006E400A"/>
    <w:rsid w:val="006E43EF"/>
    <w:rsid w:val="006E6EEF"/>
    <w:rsid w:val="006F0DB3"/>
    <w:rsid w:val="006F5326"/>
    <w:rsid w:val="006F5EA6"/>
    <w:rsid w:val="007008A7"/>
    <w:rsid w:val="00702685"/>
    <w:rsid w:val="00704BF7"/>
    <w:rsid w:val="0070658D"/>
    <w:rsid w:val="0071314C"/>
    <w:rsid w:val="007154CB"/>
    <w:rsid w:val="00721668"/>
    <w:rsid w:val="00736649"/>
    <w:rsid w:val="00737665"/>
    <w:rsid w:val="00741B38"/>
    <w:rsid w:val="00741D42"/>
    <w:rsid w:val="00741EF4"/>
    <w:rsid w:val="00745722"/>
    <w:rsid w:val="00746230"/>
    <w:rsid w:val="00746590"/>
    <w:rsid w:val="0074712F"/>
    <w:rsid w:val="007621D5"/>
    <w:rsid w:val="0076231C"/>
    <w:rsid w:val="00762790"/>
    <w:rsid w:val="00763516"/>
    <w:rsid w:val="00772D30"/>
    <w:rsid w:val="00773228"/>
    <w:rsid w:val="00773DC1"/>
    <w:rsid w:val="0077596B"/>
    <w:rsid w:val="00776C84"/>
    <w:rsid w:val="00780E4E"/>
    <w:rsid w:val="0078204E"/>
    <w:rsid w:val="007832C4"/>
    <w:rsid w:val="00784CDD"/>
    <w:rsid w:val="00793C5C"/>
    <w:rsid w:val="007961FF"/>
    <w:rsid w:val="007A271E"/>
    <w:rsid w:val="007A3E4C"/>
    <w:rsid w:val="007A73DA"/>
    <w:rsid w:val="007A7CCD"/>
    <w:rsid w:val="007B22B3"/>
    <w:rsid w:val="007C1A01"/>
    <w:rsid w:val="007C34D6"/>
    <w:rsid w:val="007D6B7E"/>
    <w:rsid w:val="007E0F49"/>
    <w:rsid w:val="007E12E5"/>
    <w:rsid w:val="007E516C"/>
    <w:rsid w:val="007E5E32"/>
    <w:rsid w:val="008002BC"/>
    <w:rsid w:val="008004AA"/>
    <w:rsid w:val="008008AB"/>
    <w:rsid w:val="00811182"/>
    <w:rsid w:val="008126A8"/>
    <w:rsid w:val="00812D73"/>
    <w:rsid w:val="00815371"/>
    <w:rsid w:val="00816726"/>
    <w:rsid w:val="00817E10"/>
    <w:rsid w:val="0082111E"/>
    <w:rsid w:val="008234DC"/>
    <w:rsid w:val="0082567B"/>
    <w:rsid w:val="00826FF2"/>
    <w:rsid w:val="0082716B"/>
    <w:rsid w:val="008371DA"/>
    <w:rsid w:val="00843BEE"/>
    <w:rsid w:val="0084479C"/>
    <w:rsid w:val="00847994"/>
    <w:rsid w:val="008501D8"/>
    <w:rsid w:val="0085106F"/>
    <w:rsid w:val="00852E19"/>
    <w:rsid w:val="008530AF"/>
    <w:rsid w:val="0085634F"/>
    <w:rsid w:val="00870FE5"/>
    <w:rsid w:val="008728E9"/>
    <w:rsid w:val="00874C94"/>
    <w:rsid w:val="00892465"/>
    <w:rsid w:val="00892863"/>
    <w:rsid w:val="00894748"/>
    <w:rsid w:val="00894C5C"/>
    <w:rsid w:val="00894DD3"/>
    <w:rsid w:val="00895E7E"/>
    <w:rsid w:val="00896924"/>
    <w:rsid w:val="00897813"/>
    <w:rsid w:val="008A2206"/>
    <w:rsid w:val="008A4DC6"/>
    <w:rsid w:val="008A6060"/>
    <w:rsid w:val="008A72CB"/>
    <w:rsid w:val="008B1571"/>
    <w:rsid w:val="008B4153"/>
    <w:rsid w:val="008C0E5E"/>
    <w:rsid w:val="008C347A"/>
    <w:rsid w:val="008E0389"/>
    <w:rsid w:val="008E3316"/>
    <w:rsid w:val="008E4CF0"/>
    <w:rsid w:val="008E7A34"/>
    <w:rsid w:val="008F4E69"/>
    <w:rsid w:val="008F74FF"/>
    <w:rsid w:val="00902D21"/>
    <w:rsid w:val="009067E4"/>
    <w:rsid w:val="0090725A"/>
    <w:rsid w:val="009100DE"/>
    <w:rsid w:val="0091095D"/>
    <w:rsid w:val="00912A26"/>
    <w:rsid w:val="00922654"/>
    <w:rsid w:val="00932325"/>
    <w:rsid w:val="009331CB"/>
    <w:rsid w:val="00934DCE"/>
    <w:rsid w:val="00935ADE"/>
    <w:rsid w:val="009420BA"/>
    <w:rsid w:val="00943521"/>
    <w:rsid w:val="00947DC0"/>
    <w:rsid w:val="009551E3"/>
    <w:rsid w:val="00960BC9"/>
    <w:rsid w:val="00960F66"/>
    <w:rsid w:val="009614BA"/>
    <w:rsid w:val="00962A81"/>
    <w:rsid w:val="00963781"/>
    <w:rsid w:val="009724FE"/>
    <w:rsid w:val="0097540F"/>
    <w:rsid w:val="00980AFC"/>
    <w:rsid w:val="009852E2"/>
    <w:rsid w:val="0098671A"/>
    <w:rsid w:val="0099015F"/>
    <w:rsid w:val="009942C9"/>
    <w:rsid w:val="00994C6F"/>
    <w:rsid w:val="00994DCB"/>
    <w:rsid w:val="009965AD"/>
    <w:rsid w:val="00996EB0"/>
    <w:rsid w:val="0099727E"/>
    <w:rsid w:val="009A384F"/>
    <w:rsid w:val="009A5007"/>
    <w:rsid w:val="009A7484"/>
    <w:rsid w:val="009A7838"/>
    <w:rsid w:val="009B0925"/>
    <w:rsid w:val="009B1778"/>
    <w:rsid w:val="009B1F87"/>
    <w:rsid w:val="009C29C9"/>
    <w:rsid w:val="009C3E10"/>
    <w:rsid w:val="009C724E"/>
    <w:rsid w:val="009D0D0B"/>
    <w:rsid w:val="009D58F4"/>
    <w:rsid w:val="009E34B9"/>
    <w:rsid w:val="009E61BC"/>
    <w:rsid w:val="009E6894"/>
    <w:rsid w:val="009E6DF3"/>
    <w:rsid w:val="009E734F"/>
    <w:rsid w:val="009F1EC0"/>
    <w:rsid w:val="009F2192"/>
    <w:rsid w:val="009F5CCB"/>
    <w:rsid w:val="00A0140F"/>
    <w:rsid w:val="00A04F60"/>
    <w:rsid w:val="00A06201"/>
    <w:rsid w:val="00A06F63"/>
    <w:rsid w:val="00A127CA"/>
    <w:rsid w:val="00A12E23"/>
    <w:rsid w:val="00A1327A"/>
    <w:rsid w:val="00A146E4"/>
    <w:rsid w:val="00A16A8E"/>
    <w:rsid w:val="00A17276"/>
    <w:rsid w:val="00A20CE1"/>
    <w:rsid w:val="00A302AF"/>
    <w:rsid w:val="00A31788"/>
    <w:rsid w:val="00A436B6"/>
    <w:rsid w:val="00A45F1E"/>
    <w:rsid w:val="00A46B9C"/>
    <w:rsid w:val="00A507BC"/>
    <w:rsid w:val="00A51B11"/>
    <w:rsid w:val="00A5224A"/>
    <w:rsid w:val="00A53E91"/>
    <w:rsid w:val="00A571A0"/>
    <w:rsid w:val="00A57983"/>
    <w:rsid w:val="00A57CE5"/>
    <w:rsid w:val="00A613F9"/>
    <w:rsid w:val="00A6161C"/>
    <w:rsid w:val="00A62BCF"/>
    <w:rsid w:val="00A70ABD"/>
    <w:rsid w:val="00A72A1C"/>
    <w:rsid w:val="00A741EF"/>
    <w:rsid w:val="00A76FE3"/>
    <w:rsid w:val="00A77622"/>
    <w:rsid w:val="00A77EDC"/>
    <w:rsid w:val="00A921B0"/>
    <w:rsid w:val="00A95180"/>
    <w:rsid w:val="00A97BDD"/>
    <w:rsid w:val="00AA1C22"/>
    <w:rsid w:val="00AA3954"/>
    <w:rsid w:val="00AA4191"/>
    <w:rsid w:val="00AA5F72"/>
    <w:rsid w:val="00AB2D4E"/>
    <w:rsid w:val="00AB4A5F"/>
    <w:rsid w:val="00AB7AAE"/>
    <w:rsid w:val="00AC0036"/>
    <w:rsid w:val="00AC1483"/>
    <w:rsid w:val="00AC39E7"/>
    <w:rsid w:val="00AC4C5A"/>
    <w:rsid w:val="00AC50C5"/>
    <w:rsid w:val="00AD1420"/>
    <w:rsid w:val="00AD1574"/>
    <w:rsid w:val="00AD18B6"/>
    <w:rsid w:val="00AE77F5"/>
    <w:rsid w:val="00AF1BA2"/>
    <w:rsid w:val="00AF7753"/>
    <w:rsid w:val="00B04740"/>
    <w:rsid w:val="00B10066"/>
    <w:rsid w:val="00B120F0"/>
    <w:rsid w:val="00B13E0F"/>
    <w:rsid w:val="00B13E7D"/>
    <w:rsid w:val="00B15172"/>
    <w:rsid w:val="00B246AD"/>
    <w:rsid w:val="00B248A1"/>
    <w:rsid w:val="00B25811"/>
    <w:rsid w:val="00B25953"/>
    <w:rsid w:val="00B2746E"/>
    <w:rsid w:val="00B301E8"/>
    <w:rsid w:val="00B329F7"/>
    <w:rsid w:val="00B32E18"/>
    <w:rsid w:val="00B367C9"/>
    <w:rsid w:val="00B4301F"/>
    <w:rsid w:val="00B46907"/>
    <w:rsid w:val="00B50B81"/>
    <w:rsid w:val="00B523E3"/>
    <w:rsid w:val="00B537DE"/>
    <w:rsid w:val="00B558F6"/>
    <w:rsid w:val="00B6199A"/>
    <w:rsid w:val="00B6557D"/>
    <w:rsid w:val="00B65FBC"/>
    <w:rsid w:val="00B706DC"/>
    <w:rsid w:val="00B710A1"/>
    <w:rsid w:val="00B7134C"/>
    <w:rsid w:val="00B73F37"/>
    <w:rsid w:val="00B75B6A"/>
    <w:rsid w:val="00B760DF"/>
    <w:rsid w:val="00B7704E"/>
    <w:rsid w:val="00B83E36"/>
    <w:rsid w:val="00B846EF"/>
    <w:rsid w:val="00B849C9"/>
    <w:rsid w:val="00B855EF"/>
    <w:rsid w:val="00B86AA4"/>
    <w:rsid w:val="00B92D3F"/>
    <w:rsid w:val="00BA128E"/>
    <w:rsid w:val="00BC2E72"/>
    <w:rsid w:val="00BC6019"/>
    <w:rsid w:val="00BC601C"/>
    <w:rsid w:val="00BC7C70"/>
    <w:rsid w:val="00BD2704"/>
    <w:rsid w:val="00BD4E23"/>
    <w:rsid w:val="00BD5D6B"/>
    <w:rsid w:val="00BD74F5"/>
    <w:rsid w:val="00BE16A9"/>
    <w:rsid w:val="00BE4A80"/>
    <w:rsid w:val="00BF6EAA"/>
    <w:rsid w:val="00BF75F7"/>
    <w:rsid w:val="00BF7C63"/>
    <w:rsid w:val="00C0053F"/>
    <w:rsid w:val="00C0233A"/>
    <w:rsid w:val="00C07C2D"/>
    <w:rsid w:val="00C1578B"/>
    <w:rsid w:val="00C17B71"/>
    <w:rsid w:val="00C207E5"/>
    <w:rsid w:val="00C2308A"/>
    <w:rsid w:val="00C231D0"/>
    <w:rsid w:val="00C3046D"/>
    <w:rsid w:val="00C3089B"/>
    <w:rsid w:val="00C3327E"/>
    <w:rsid w:val="00C3368F"/>
    <w:rsid w:val="00C3692E"/>
    <w:rsid w:val="00C369DC"/>
    <w:rsid w:val="00C37613"/>
    <w:rsid w:val="00C43A78"/>
    <w:rsid w:val="00C451AC"/>
    <w:rsid w:val="00C45B35"/>
    <w:rsid w:val="00C47693"/>
    <w:rsid w:val="00C510FF"/>
    <w:rsid w:val="00C514B1"/>
    <w:rsid w:val="00C57E44"/>
    <w:rsid w:val="00C6063D"/>
    <w:rsid w:val="00C60ED1"/>
    <w:rsid w:val="00C61ED4"/>
    <w:rsid w:val="00C6441B"/>
    <w:rsid w:val="00C67AF6"/>
    <w:rsid w:val="00C67F4E"/>
    <w:rsid w:val="00C73882"/>
    <w:rsid w:val="00C8039B"/>
    <w:rsid w:val="00C856BC"/>
    <w:rsid w:val="00CA03C5"/>
    <w:rsid w:val="00CA0EFA"/>
    <w:rsid w:val="00CA1CF3"/>
    <w:rsid w:val="00CA4218"/>
    <w:rsid w:val="00CA501C"/>
    <w:rsid w:val="00CA66A2"/>
    <w:rsid w:val="00CA7B97"/>
    <w:rsid w:val="00CB21FC"/>
    <w:rsid w:val="00CB32E0"/>
    <w:rsid w:val="00CB7689"/>
    <w:rsid w:val="00CB7F3A"/>
    <w:rsid w:val="00CC02B9"/>
    <w:rsid w:val="00CC6097"/>
    <w:rsid w:val="00CC6CA2"/>
    <w:rsid w:val="00CC7AC6"/>
    <w:rsid w:val="00CD0239"/>
    <w:rsid w:val="00CD54F8"/>
    <w:rsid w:val="00CD5909"/>
    <w:rsid w:val="00CE2C66"/>
    <w:rsid w:val="00CE6B20"/>
    <w:rsid w:val="00CE7B43"/>
    <w:rsid w:val="00CE7C47"/>
    <w:rsid w:val="00CF2A89"/>
    <w:rsid w:val="00CF3013"/>
    <w:rsid w:val="00CF3134"/>
    <w:rsid w:val="00CF4FF5"/>
    <w:rsid w:val="00CF7F20"/>
    <w:rsid w:val="00D03509"/>
    <w:rsid w:val="00D0764C"/>
    <w:rsid w:val="00D106A6"/>
    <w:rsid w:val="00D1138A"/>
    <w:rsid w:val="00D125ED"/>
    <w:rsid w:val="00D15094"/>
    <w:rsid w:val="00D15B85"/>
    <w:rsid w:val="00D210D0"/>
    <w:rsid w:val="00D245CC"/>
    <w:rsid w:val="00D26835"/>
    <w:rsid w:val="00D278B3"/>
    <w:rsid w:val="00D30914"/>
    <w:rsid w:val="00D32A4F"/>
    <w:rsid w:val="00D32F9F"/>
    <w:rsid w:val="00D35BD0"/>
    <w:rsid w:val="00D36649"/>
    <w:rsid w:val="00D37E23"/>
    <w:rsid w:val="00D47D6E"/>
    <w:rsid w:val="00D517B7"/>
    <w:rsid w:val="00D54DB0"/>
    <w:rsid w:val="00D608CB"/>
    <w:rsid w:val="00D62E4C"/>
    <w:rsid w:val="00D6445C"/>
    <w:rsid w:val="00D706EC"/>
    <w:rsid w:val="00D70F35"/>
    <w:rsid w:val="00D71007"/>
    <w:rsid w:val="00D7196D"/>
    <w:rsid w:val="00D7485C"/>
    <w:rsid w:val="00D84D3D"/>
    <w:rsid w:val="00D8522B"/>
    <w:rsid w:val="00D90EA4"/>
    <w:rsid w:val="00D94C49"/>
    <w:rsid w:val="00D950FB"/>
    <w:rsid w:val="00D9552E"/>
    <w:rsid w:val="00D956E4"/>
    <w:rsid w:val="00D97382"/>
    <w:rsid w:val="00DA0825"/>
    <w:rsid w:val="00DA4782"/>
    <w:rsid w:val="00DB6B18"/>
    <w:rsid w:val="00DC0366"/>
    <w:rsid w:val="00DC415A"/>
    <w:rsid w:val="00DC6156"/>
    <w:rsid w:val="00DC6A39"/>
    <w:rsid w:val="00DC79F1"/>
    <w:rsid w:val="00DD4896"/>
    <w:rsid w:val="00DD5EE7"/>
    <w:rsid w:val="00DE187F"/>
    <w:rsid w:val="00DE1BD9"/>
    <w:rsid w:val="00DE7E38"/>
    <w:rsid w:val="00DF079F"/>
    <w:rsid w:val="00DF48F5"/>
    <w:rsid w:val="00DF5A73"/>
    <w:rsid w:val="00DF7772"/>
    <w:rsid w:val="00E01FF7"/>
    <w:rsid w:val="00E022F2"/>
    <w:rsid w:val="00E0477B"/>
    <w:rsid w:val="00E164BB"/>
    <w:rsid w:val="00E16B3F"/>
    <w:rsid w:val="00E23EA6"/>
    <w:rsid w:val="00E24E8E"/>
    <w:rsid w:val="00E251E4"/>
    <w:rsid w:val="00E31A21"/>
    <w:rsid w:val="00E3745F"/>
    <w:rsid w:val="00E414AB"/>
    <w:rsid w:val="00E414DB"/>
    <w:rsid w:val="00E415EB"/>
    <w:rsid w:val="00E44AA4"/>
    <w:rsid w:val="00E4605D"/>
    <w:rsid w:val="00E469A4"/>
    <w:rsid w:val="00E54E65"/>
    <w:rsid w:val="00E61361"/>
    <w:rsid w:val="00E66D12"/>
    <w:rsid w:val="00E670DA"/>
    <w:rsid w:val="00E678F7"/>
    <w:rsid w:val="00E70EBA"/>
    <w:rsid w:val="00E71492"/>
    <w:rsid w:val="00E733C5"/>
    <w:rsid w:val="00E7798A"/>
    <w:rsid w:val="00E871F9"/>
    <w:rsid w:val="00E8743B"/>
    <w:rsid w:val="00E87A78"/>
    <w:rsid w:val="00E91F5C"/>
    <w:rsid w:val="00E950AF"/>
    <w:rsid w:val="00E95977"/>
    <w:rsid w:val="00E95E14"/>
    <w:rsid w:val="00EA06F4"/>
    <w:rsid w:val="00EA4295"/>
    <w:rsid w:val="00EA562C"/>
    <w:rsid w:val="00EB32A2"/>
    <w:rsid w:val="00EB350C"/>
    <w:rsid w:val="00EC15DD"/>
    <w:rsid w:val="00EC6153"/>
    <w:rsid w:val="00EC6870"/>
    <w:rsid w:val="00EC7152"/>
    <w:rsid w:val="00EC7E68"/>
    <w:rsid w:val="00ED5FD4"/>
    <w:rsid w:val="00EE0356"/>
    <w:rsid w:val="00EE1074"/>
    <w:rsid w:val="00EE3132"/>
    <w:rsid w:val="00EF00B0"/>
    <w:rsid w:val="00EF1737"/>
    <w:rsid w:val="00EF3170"/>
    <w:rsid w:val="00EF732C"/>
    <w:rsid w:val="00F01C44"/>
    <w:rsid w:val="00F01DCE"/>
    <w:rsid w:val="00F03DD4"/>
    <w:rsid w:val="00F05999"/>
    <w:rsid w:val="00F1328F"/>
    <w:rsid w:val="00F25EE5"/>
    <w:rsid w:val="00F27A91"/>
    <w:rsid w:val="00F27CE3"/>
    <w:rsid w:val="00F31FE7"/>
    <w:rsid w:val="00F35110"/>
    <w:rsid w:val="00F36E7A"/>
    <w:rsid w:val="00F40317"/>
    <w:rsid w:val="00F41F2F"/>
    <w:rsid w:val="00F44301"/>
    <w:rsid w:val="00F44875"/>
    <w:rsid w:val="00F5205B"/>
    <w:rsid w:val="00F52A5C"/>
    <w:rsid w:val="00F574C9"/>
    <w:rsid w:val="00F604BA"/>
    <w:rsid w:val="00F61480"/>
    <w:rsid w:val="00F623C4"/>
    <w:rsid w:val="00F65A38"/>
    <w:rsid w:val="00F7008C"/>
    <w:rsid w:val="00F70ED2"/>
    <w:rsid w:val="00F71ECE"/>
    <w:rsid w:val="00F725E8"/>
    <w:rsid w:val="00F73B19"/>
    <w:rsid w:val="00F73E85"/>
    <w:rsid w:val="00F81B9D"/>
    <w:rsid w:val="00F8379E"/>
    <w:rsid w:val="00F86570"/>
    <w:rsid w:val="00F86C38"/>
    <w:rsid w:val="00F87FA8"/>
    <w:rsid w:val="00F9314A"/>
    <w:rsid w:val="00F96031"/>
    <w:rsid w:val="00FA0571"/>
    <w:rsid w:val="00FA4D61"/>
    <w:rsid w:val="00FA7103"/>
    <w:rsid w:val="00FB30FE"/>
    <w:rsid w:val="00FB42F8"/>
    <w:rsid w:val="00FB4852"/>
    <w:rsid w:val="00FC2BF6"/>
    <w:rsid w:val="00FC4D9E"/>
    <w:rsid w:val="00FC6857"/>
    <w:rsid w:val="00FC7288"/>
    <w:rsid w:val="00FD0A0D"/>
    <w:rsid w:val="00FD24E2"/>
    <w:rsid w:val="00FD3F1B"/>
    <w:rsid w:val="00FD4320"/>
    <w:rsid w:val="00FE0D08"/>
    <w:rsid w:val="00FE21DF"/>
    <w:rsid w:val="00FE5E5F"/>
    <w:rsid w:val="00FF3A4D"/>
    <w:rsid w:val="00FF3C2C"/>
    <w:rsid w:val="00FF562F"/>
    <w:rsid w:val="00FF5C59"/>
    <w:rsid w:val="00FF60C9"/>
    <w:rsid w:val="028A67B7"/>
    <w:rsid w:val="031F2FDE"/>
    <w:rsid w:val="29B22F88"/>
    <w:rsid w:val="38491F71"/>
    <w:rsid w:val="3DEC5706"/>
    <w:rsid w:val="5DE94A72"/>
    <w:rsid w:val="6C68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1"/>
    <w:uiPriority w:val="9"/>
    <w:qFormat/>
    <w:pPr>
      <w:widowControl/>
      <w:spacing w:before="260" w:after="260" w:line="360" w:lineRule="auto"/>
      <w:jc w:val="left"/>
      <w:outlineLvl w:val="0"/>
    </w:pPr>
    <w:rPr>
      <w:rFonts w:eastAsia="黑体"/>
      <w:bCs/>
      <w:kern w:val="36"/>
      <w:sz w:val="20"/>
      <w:szCs w:val="4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pPr>
      <w:autoSpaceDE w:val="0"/>
      <w:autoSpaceDN w:val="0"/>
      <w:spacing w:beforeLines="50" w:afterLines="50" w:line="300" w:lineRule="auto"/>
    </w:pPr>
    <w:rPr>
      <w:rFonts w:ascii="宋体" w:hAnsi="宋体" w:cs="宋体"/>
      <w:kern w:val="0"/>
      <w:szCs w:val="21"/>
      <w:lang w:val="zh-CN" w:bidi="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Char0">
    <w:name w:val="正文文本 Char"/>
    <w:basedOn w:val="a0"/>
    <w:link w:val="a4"/>
    <w:qFormat/>
    <w:rPr>
      <w:rFonts w:ascii="宋体" w:eastAsia="宋体" w:hAnsi="宋体" w:cs="宋体"/>
      <w:kern w:val="0"/>
      <w:szCs w:val="21"/>
      <w:lang w:val="zh-CN" w:bidi="zh-CN"/>
    </w:rPr>
  </w:style>
  <w:style w:type="character" w:customStyle="1" w:styleId="1Char1">
    <w:name w:val="标题 1 Char1"/>
    <w:basedOn w:val="a0"/>
    <w:link w:val="1"/>
    <w:uiPriority w:val="9"/>
    <w:qFormat/>
    <w:rPr>
      <w:rFonts w:ascii="Times New Roman" w:eastAsia="黑体" w:hAnsi="Times New Roman" w:cs="Times New Roman"/>
      <w:bCs/>
      <w:kern w:val="36"/>
      <w:sz w:val="20"/>
      <w:szCs w:val="48"/>
      <w:lang w:val="zh-CN"/>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paragraph" w:customStyle="1" w:styleId="10">
    <w:name w:val="修订1"/>
    <w:hidden/>
    <w:uiPriority w:val="99"/>
    <w:unhideWhenUsed/>
    <w:qFormat/>
    <w:rPr>
      <w:rFonts w:ascii="Times New Roman" w:eastAsia="宋体" w:hAnsi="Times New Roman" w:cs="Times New Roman"/>
      <w:kern w:val="2"/>
      <w:sz w:val="21"/>
    </w:rPr>
  </w:style>
  <w:style w:type="character" w:customStyle="1" w:styleId="Char4">
    <w:name w:val="批注主题 Char"/>
    <w:basedOn w:val="Char"/>
    <w:link w:val="a8"/>
    <w:uiPriority w:val="99"/>
    <w:semiHidden/>
    <w:qFormat/>
    <w:rPr>
      <w:rFonts w:ascii="Times New Roman" w:eastAsia="宋体" w:hAnsi="Times New Roman" w:cs="Times New Roman"/>
      <w:b/>
      <w:bCs/>
      <w:kern w:val="2"/>
      <w:sz w:val="21"/>
      <w:szCs w:val="20"/>
    </w:rPr>
  </w:style>
  <w:style w:type="paragraph" w:customStyle="1" w:styleId="2">
    <w:name w:val="修订2"/>
    <w:hidden/>
    <w:uiPriority w:val="99"/>
    <w:unhideWhenUsed/>
    <w:qFormat/>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1"/>
    <w:uiPriority w:val="9"/>
    <w:qFormat/>
    <w:pPr>
      <w:widowControl/>
      <w:spacing w:before="260" w:after="260" w:line="360" w:lineRule="auto"/>
      <w:jc w:val="left"/>
      <w:outlineLvl w:val="0"/>
    </w:pPr>
    <w:rPr>
      <w:rFonts w:eastAsia="黑体"/>
      <w:bCs/>
      <w:kern w:val="36"/>
      <w:sz w:val="20"/>
      <w:szCs w:val="4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pPr>
      <w:autoSpaceDE w:val="0"/>
      <w:autoSpaceDN w:val="0"/>
      <w:spacing w:beforeLines="50" w:afterLines="50" w:line="300" w:lineRule="auto"/>
    </w:pPr>
    <w:rPr>
      <w:rFonts w:ascii="宋体" w:hAnsi="宋体" w:cs="宋体"/>
      <w:kern w:val="0"/>
      <w:szCs w:val="21"/>
      <w:lang w:val="zh-CN" w:bidi="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Char0">
    <w:name w:val="正文文本 Char"/>
    <w:basedOn w:val="a0"/>
    <w:link w:val="a4"/>
    <w:qFormat/>
    <w:rPr>
      <w:rFonts w:ascii="宋体" w:eastAsia="宋体" w:hAnsi="宋体" w:cs="宋体"/>
      <w:kern w:val="0"/>
      <w:szCs w:val="21"/>
      <w:lang w:val="zh-CN" w:bidi="zh-CN"/>
    </w:rPr>
  </w:style>
  <w:style w:type="character" w:customStyle="1" w:styleId="1Char1">
    <w:name w:val="标题 1 Char1"/>
    <w:basedOn w:val="a0"/>
    <w:link w:val="1"/>
    <w:uiPriority w:val="9"/>
    <w:qFormat/>
    <w:rPr>
      <w:rFonts w:ascii="Times New Roman" w:eastAsia="黑体" w:hAnsi="Times New Roman" w:cs="Times New Roman"/>
      <w:bCs/>
      <w:kern w:val="36"/>
      <w:sz w:val="20"/>
      <w:szCs w:val="48"/>
      <w:lang w:val="zh-CN"/>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paragraph" w:customStyle="1" w:styleId="10">
    <w:name w:val="修订1"/>
    <w:hidden/>
    <w:uiPriority w:val="99"/>
    <w:unhideWhenUsed/>
    <w:qFormat/>
    <w:rPr>
      <w:rFonts w:ascii="Times New Roman" w:eastAsia="宋体" w:hAnsi="Times New Roman" w:cs="Times New Roman"/>
      <w:kern w:val="2"/>
      <w:sz w:val="21"/>
    </w:rPr>
  </w:style>
  <w:style w:type="character" w:customStyle="1" w:styleId="Char4">
    <w:name w:val="批注主题 Char"/>
    <w:basedOn w:val="Char"/>
    <w:link w:val="a8"/>
    <w:uiPriority w:val="99"/>
    <w:semiHidden/>
    <w:qFormat/>
    <w:rPr>
      <w:rFonts w:ascii="Times New Roman" w:eastAsia="宋体" w:hAnsi="Times New Roman" w:cs="Times New Roman"/>
      <w:b/>
      <w:bCs/>
      <w:kern w:val="2"/>
      <w:sz w:val="21"/>
      <w:szCs w:val="20"/>
    </w:rPr>
  </w:style>
  <w:style w:type="paragraph" w:customStyle="1" w:styleId="2">
    <w:name w:val="修订2"/>
    <w:hidden/>
    <w:uiPriority w:val="99"/>
    <w:unhideWhenUsed/>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902</Words>
  <Characters>5148</Characters>
  <Application>Microsoft Office Word</Application>
  <DocSecurity>0</DocSecurity>
  <Lines>42</Lines>
  <Paragraphs>12</Paragraphs>
  <ScaleCrop>false</ScaleCrop>
  <Company>微软中国</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裴新荣</cp:lastModifiedBy>
  <cp:revision>3</cp:revision>
  <dcterms:created xsi:type="dcterms:W3CDTF">2025-10-11T08:41:00Z</dcterms:created>
  <dcterms:modified xsi:type="dcterms:W3CDTF">2025-10-13T02:02:00Z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eyJoZGlkIjoiZWU4YTQ3YTljODdkMDM4ODU2MWYwNmE1YmNhYzlkYWEiLCJ1c2VySWQiOiI0MTM5MzIxMzQifQ==</vt:lpwstr>
  </property>
  <property fmtid="{D5CDD505-2E9C-101B-9397-08002B2CF9AE}" pid="3" name="KSOProductBuildVer">
    <vt:lpwstr>2052-12.1.0.22529</vt:lpwstr>
  </property>
  <property fmtid="{D5CDD505-2E9C-101B-9397-08002B2CF9AE}" pid="4" name="ICV">
    <vt:lpwstr>BA8993AF76F34502B5273A1E158ACDFD_13</vt:lpwstr>
  </property>
</Properties>
</file>